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5323E" w14:textId="77777777" w:rsidR="009C60A0" w:rsidRDefault="009C60A0" w:rsidP="00445875">
      <w:pPr>
        <w:spacing w:before="100" w:beforeAutospacing="1" w:after="100" w:afterAutospacing="1" w:line="240" w:lineRule="auto"/>
        <w:outlineLvl w:val="1"/>
        <w:rPr>
          <w:rFonts w:ascii="Segoe UI" w:eastAsia="Times New Roman" w:hAnsi="Segoe UI" w:cs="Segoe UI"/>
          <w:b/>
          <w:bCs/>
          <w:sz w:val="36"/>
          <w:szCs w:val="36"/>
        </w:rPr>
      </w:pPr>
      <w:r>
        <w:rPr>
          <w:rFonts w:ascii="Segoe UI" w:eastAsia="Times New Roman" w:hAnsi="Segoe UI" w:cs="Segoe UI"/>
          <w:b/>
          <w:bCs/>
          <w:noProof/>
          <w:sz w:val="36"/>
          <w:szCs w:val="36"/>
        </w:rPr>
        <w:drawing>
          <wp:inline distT="0" distB="0" distL="0" distR="0" wp14:anchorId="38D197DA" wp14:editId="5BBB59BD">
            <wp:extent cx="5943600"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ver.jpeg"/>
                    <pic:cNvPicPr/>
                  </pic:nvPicPr>
                  <pic:blipFill>
                    <a:blip r:embed="rId5">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42754EE3" w14:textId="77777777" w:rsidR="00445875" w:rsidRP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2025 Bullish Seasonal Pattern for Oil and Energy Report</w:t>
      </w:r>
    </w:p>
    <w:p w14:paraId="2960368E"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 2025 Tom Gentile</w:t>
      </w:r>
      <w:r w:rsidRPr="00445875">
        <w:rPr>
          <w:rFonts w:ascii="Segoe UI" w:eastAsia="Times New Roman" w:hAnsi="Segoe UI" w:cs="Segoe UI"/>
          <w:sz w:val="24"/>
          <w:szCs w:val="24"/>
        </w:rPr>
        <w:br/>
        <w:t>All content is owned or licensed by Tom Gentile and protected by intellectual property laws. Unauthorized reproduction, distribution, or use of this material is strictly prohibited.</w:t>
      </w:r>
    </w:p>
    <w:p w14:paraId="6B19A220" w14:textId="77777777" w:rsidR="00445875" w:rsidRPr="00445875" w:rsidRDefault="00000000" w:rsidP="00445875">
      <w:pPr>
        <w:spacing w:after="0" w:line="240" w:lineRule="auto"/>
        <w:rPr>
          <w:rFonts w:ascii="Segoe UI" w:eastAsia="Times New Roman" w:hAnsi="Segoe UI" w:cs="Segoe UI"/>
          <w:sz w:val="24"/>
          <w:szCs w:val="24"/>
        </w:rPr>
      </w:pPr>
      <w:r>
        <w:rPr>
          <w:rFonts w:ascii="Segoe UI" w:eastAsia="Times New Roman" w:hAnsi="Segoe UI" w:cs="Segoe UI"/>
          <w:sz w:val="24"/>
          <w:szCs w:val="24"/>
        </w:rPr>
        <w:pict w14:anchorId="3D6E95CE">
          <v:rect id="_x0000_i1025" style="width:0;height:1.5pt" o:hralign="center" o:hrstd="t" o:hr="t" fillcolor="#a0a0a0" stroked="f"/>
        </w:pict>
      </w:r>
    </w:p>
    <w:p w14:paraId="516D9CD6"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445875">
        <w:rPr>
          <w:rFonts w:ascii="Segoe UI" w:eastAsia="Times New Roman" w:hAnsi="Segoe UI" w:cs="Segoe UI"/>
          <w:b/>
          <w:bCs/>
          <w:sz w:val="27"/>
          <w:szCs w:val="27"/>
        </w:rPr>
        <w:lastRenderedPageBreak/>
        <w:t>Disclaimer</w:t>
      </w:r>
    </w:p>
    <w:p w14:paraId="75269747"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Just a heads-up: I'm not a registered Securities Dealer, Broker, or Investment Adviser in the U.S. or anywhere else. Everything in this report is for educational purposes only—not personalized investment advice. Trading, especially with options and futures, carries risks, and past performance doesn’t guarantee future results. Always consult a professional before making any investment decisions.</w:t>
      </w:r>
    </w:p>
    <w:p w14:paraId="64868151"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For full disclaimers, check out:</w:t>
      </w:r>
    </w:p>
    <w:p w14:paraId="171BEA74" w14:textId="77777777" w:rsidR="00445875" w:rsidRPr="00445875" w:rsidRDefault="0088520A" w:rsidP="00445875">
      <w:pPr>
        <w:spacing w:after="0" w:line="240" w:lineRule="auto"/>
        <w:rPr>
          <w:rFonts w:ascii="Segoe UI" w:eastAsia="Times New Roman" w:hAnsi="Segoe UI" w:cs="Segoe UI"/>
          <w:sz w:val="24"/>
          <w:szCs w:val="24"/>
        </w:rPr>
      </w:pPr>
      <w:r w:rsidRPr="0088520A">
        <w:rPr>
          <w:rFonts w:ascii="Segoe UI" w:eastAsia="Times New Roman" w:hAnsi="Segoe UI" w:cs="Segoe UI"/>
          <w:sz w:val="24"/>
          <w:szCs w:val="24"/>
          <w:highlight w:val="yellow"/>
        </w:rPr>
        <w:t>https://www.tomgentile.com/legal_disc...</w:t>
      </w:r>
      <w:r w:rsidRPr="0088520A">
        <w:rPr>
          <w:rFonts w:ascii="Segoe UI" w:eastAsia="Times New Roman" w:hAnsi="Segoe UI" w:cs="Segoe UI"/>
          <w:sz w:val="24"/>
          <w:szCs w:val="24"/>
          <w:highlight w:val="yellow"/>
        </w:rPr>
        <w:br/>
        <w:t>https://tomstradingroom.com/disclaime...</w:t>
      </w:r>
      <w:r w:rsidRPr="0088520A">
        <w:rPr>
          <w:rFonts w:ascii="Segoe UI" w:eastAsia="Times New Roman" w:hAnsi="Segoe UI" w:cs="Segoe UI"/>
          <w:sz w:val="24"/>
          <w:szCs w:val="24"/>
          <w:highlight w:val="yellow"/>
        </w:rPr>
        <w:br/>
        <w:t>https://gulfportanalytics.com/privacy...</w:t>
      </w:r>
      <w:r w:rsidRPr="0088520A">
        <w:rPr>
          <w:rFonts w:ascii="Segoe UI" w:eastAsia="Times New Roman" w:hAnsi="Segoe UI" w:cs="Segoe UI"/>
          <w:sz w:val="24"/>
          <w:szCs w:val="24"/>
          <w:highlight w:val="yellow"/>
        </w:rPr>
        <w:br/>
        <w:t>https://gulfportanalytics.com/terms-o...</w:t>
      </w:r>
      <w:r w:rsidRPr="0088520A">
        <w:rPr>
          <w:rFonts w:ascii="Segoe UI" w:eastAsia="Times New Roman" w:hAnsi="Segoe UI" w:cs="Segoe UI"/>
          <w:sz w:val="24"/>
          <w:szCs w:val="24"/>
          <w:highlight w:val="yellow"/>
        </w:rPr>
        <w:br/>
        <w:t>https://gulfportanalytics.com/cookie-...</w:t>
      </w:r>
      <w:r w:rsidRPr="0088520A">
        <w:rPr>
          <w:rFonts w:ascii="Segoe UI" w:eastAsia="Times New Roman" w:hAnsi="Segoe UI" w:cs="Segoe UI"/>
          <w:sz w:val="24"/>
          <w:szCs w:val="24"/>
          <w:highlight w:val="yellow"/>
        </w:rPr>
        <w:br/>
        <w:t>https://gulfportanalytics.com/dmca-po...</w:t>
      </w:r>
      <w:r w:rsidRPr="0088520A">
        <w:rPr>
          <w:rFonts w:ascii="Segoe UI" w:eastAsia="Times New Roman" w:hAnsi="Segoe UI" w:cs="Segoe UI"/>
          <w:sz w:val="24"/>
          <w:szCs w:val="24"/>
          <w:highlight w:val="yellow"/>
        </w:rPr>
        <w:br/>
        <w:t>https://gulfportanalytics.com/billing/</w:t>
      </w:r>
      <w:r w:rsidR="00000000">
        <w:rPr>
          <w:rFonts w:ascii="Segoe UI" w:eastAsia="Times New Roman" w:hAnsi="Segoe UI" w:cs="Segoe UI"/>
          <w:sz w:val="24"/>
          <w:szCs w:val="24"/>
          <w:highlight w:val="yellow"/>
        </w:rPr>
        <w:pict w14:anchorId="5675DA20">
          <v:rect id="_x0000_i1026" style="width:0;height:1.5pt" o:hralign="center" o:hrstd="t" o:hr="t" fillcolor="#a0a0a0" stroked="f"/>
        </w:pict>
      </w:r>
    </w:p>
    <w:p w14:paraId="24FE1871" w14:textId="77777777" w:rsidR="000F4351" w:rsidRDefault="00445875" w:rsidP="000F4351">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Why You Should Read This Report</w:t>
      </w:r>
    </w:p>
    <w:p w14:paraId="42FC78A6" w14:textId="77777777" w:rsidR="000F4351" w:rsidRDefault="009B5DDD" w:rsidP="000F4351">
      <w:pPr>
        <w:spacing w:before="100" w:beforeAutospacing="1" w:after="100" w:afterAutospacing="1" w:line="240" w:lineRule="auto"/>
        <w:outlineLvl w:val="1"/>
        <w:rPr>
          <w:rFonts w:ascii="Segoe UI" w:eastAsia="Times New Roman" w:hAnsi="Segoe UI" w:cs="Segoe UI"/>
          <w:sz w:val="24"/>
          <w:szCs w:val="24"/>
        </w:rPr>
      </w:pPr>
      <w:r>
        <w:rPr>
          <w:noProof/>
        </w:rPr>
        <w:lastRenderedPageBreak/>
        <w:drawing>
          <wp:inline distT="0" distB="0" distL="0" distR="0" wp14:anchorId="023DD2BF" wp14:editId="18CAAA0D">
            <wp:extent cx="5942330" cy="4144433"/>
            <wp:effectExtent l="0" t="0" r="1270" b="8890"/>
            <wp:docPr id="2054096550" name="Picture 1" descr="A graph with green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96550" name="Picture 1" descr="A graph with green and red line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6467" cy="4147318"/>
                    </a:xfrm>
                    <a:prstGeom prst="rect">
                      <a:avLst/>
                    </a:prstGeom>
                    <a:noFill/>
                  </pic:spPr>
                </pic:pic>
              </a:graphicData>
            </a:graphic>
          </wp:inline>
        </w:drawing>
      </w:r>
      <w:r w:rsidR="00445875" w:rsidRPr="00445875">
        <w:rPr>
          <w:rFonts w:ascii="Segoe UI" w:eastAsia="Times New Roman" w:hAnsi="Segoe UI" w:cs="Segoe UI"/>
          <w:sz w:val="24"/>
          <w:szCs w:val="24"/>
        </w:rPr>
        <w:br/>
        <w:t xml:space="preserve">Imagine this: </w:t>
      </w:r>
      <w:r w:rsidR="00445875" w:rsidRPr="00445875">
        <w:rPr>
          <w:rFonts w:ascii="Segoe UI" w:eastAsia="Times New Roman" w:hAnsi="Segoe UI" w:cs="Segoe UI"/>
          <w:b/>
          <w:sz w:val="24"/>
          <w:szCs w:val="24"/>
        </w:rPr>
        <w:t>The United States Oil Fund (USO)</w:t>
      </w:r>
      <w:r w:rsidR="00445875" w:rsidRPr="00445875">
        <w:rPr>
          <w:rFonts w:ascii="Segoe UI" w:eastAsia="Times New Roman" w:hAnsi="Segoe UI" w:cs="Segoe UI"/>
          <w:sz w:val="24"/>
          <w:szCs w:val="24"/>
        </w:rPr>
        <w:t xml:space="preserve"> jumps $7.08 per share between February 14 and July 15, 2024—a 9.6% return in just five months. That’s not just a one-time fluke; it’s part of a seasonal pattern. </w:t>
      </w:r>
      <w:r w:rsidR="000F4351">
        <w:rPr>
          <w:rFonts w:ascii="Segoe UI" w:eastAsia="Times New Roman" w:hAnsi="Segoe UI" w:cs="Segoe UI"/>
          <w:sz w:val="24"/>
          <w:szCs w:val="24"/>
        </w:rPr>
        <w:t>And i</w:t>
      </w:r>
      <w:r w:rsidR="00445875" w:rsidRPr="00445875">
        <w:rPr>
          <w:rFonts w:ascii="Segoe UI" w:eastAsia="Times New Roman" w:hAnsi="Segoe UI" w:cs="Segoe UI"/>
          <w:sz w:val="24"/>
          <w:szCs w:val="24"/>
        </w:rPr>
        <w:t xml:space="preserve">n this report, </w:t>
      </w:r>
      <w:r w:rsidR="000F4351">
        <w:rPr>
          <w:rFonts w:ascii="Segoe UI" w:eastAsia="Times New Roman" w:hAnsi="Segoe UI" w:cs="Segoe UI"/>
          <w:sz w:val="24"/>
          <w:szCs w:val="24"/>
        </w:rPr>
        <w:t>I’ll</w:t>
      </w:r>
      <w:r w:rsidR="00445875" w:rsidRPr="00445875">
        <w:rPr>
          <w:rFonts w:ascii="Segoe UI" w:eastAsia="Times New Roman" w:hAnsi="Segoe UI" w:cs="Segoe UI"/>
          <w:sz w:val="24"/>
          <w:szCs w:val="24"/>
        </w:rPr>
        <w:t xml:space="preserve"> break down this trend and </w:t>
      </w:r>
      <w:r w:rsidR="000F4351">
        <w:rPr>
          <w:rFonts w:ascii="Segoe UI" w:eastAsia="Times New Roman" w:hAnsi="Segoe UI" w:cs="Segoe UI"/>
          <w:sz w:val="24"/>
          <w:szCs w:val="24"/>
        </w:rPr>
        <w:t xml:space="preserve">the best way to profit before it ends. </w:t>
      </w:r>
    </w:p>
    <w:p w14:paraId="6AAD4AB9"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The oil and energy market is one of the most influential industries in the world. It’s shaped by supply and demand, geopolitical events, and macroeconomic trends. By understanding recurring seasonal patterns, you can make smarter trading moves and position yourself for potential profits.</w:t>
      </w:r>
    </w:p>
    <w:p w14:paraId="151893EB" w14:textId="77777777" w:rsidR="000F4351"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Whether you're a seasoned trader or just starting, this report will help you navigate the oil market and make informed decisions. </w:t>
      </w:r>
    </w:p>
    <w:p w14:paraId="6AEF69BF"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Let’s dive in</w:t>
      </w:r>
      <w:r w:rsidR="000F4351">
        <w:rPr>
          <w:rFonts w:ascii="Segoe UI" w:eastAsia="Times New Roman" w:hAnsi="Segoe UI" w:cs="Segoe UI"/>
          <w:sz w:val="24"/>
          <w:szCs w:val="24"/>
        </w:rPr>
        <w:t>…</w:t>
      </w:r>
    </w:p>
    <w:p w14:paraId="7DB8BA3F" w14:textId="77777777" w:rsidR="00445875" w:rsidRPr="00445875" w:rsidRDefault="00000000" w:rsidP="00445875">
      <w:pPr>
        <w:spacing w:after="0" w:line="240" w:lineRule="auto"/>
        <w:rPr>
          <w:rFonts w:ascii="Segoe UI" w:eastAsia="Times New Roman" w:hAnsi="Segoe UI" w:cs="Segoe UI"/>
          <w:sz w:val="24"/>
          <w:szCs w:val="24"/>
        </w:rPr>
      </w:pPr>
      <w:r>
        <w:rPr>
          <w:rFonts w:ascii="Segoe UI" w:eastAsia="Times New Roman" w:hAnsi="Segoe UI" w:cs="Segoe UI"/>
          <w:sz w:val="24"/>
          <w:szCs w:val="24"/>
        </w:rPr>
        <w:pict w14:anchorId="31EA8533">
          <v:rect id="_x0000_i1027" style="width:0;height:1.5pt" o:hralign="center" o:hrstd="t" o:hr="t" fillcolor="#a0a0a0" stroked="f"/>
        </w:pict>
      </w:r>
    </w:p>
    <w:p w14:paraId="32CDF873" w14:textId="77777777" w:rsidR="00445875" w:rsidRP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Understanding the Seasonal Pattern in Oil</w:t>
      </w:r>
    </w:p>
    <w:p w14:paraId="22C12D78"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445875">
        <w:rPr>
          <w:rFonts w:ascii="Segoe UI" w:eastAsia="Times New Roman" w:hAnsi="Segoe UI" w:cs="Segoe UI"/>
          <w:b/>
          <w:bCs/>
          <w:sz w:val="27"/>
          <w:szCs w:val="27"/>
        </w:rPr>
        <w:t>What Drives the Seasonal Surge in Oil Prices?</w:t>
      </w:r>
    </w:p>
    <w:p w14:paraId="67FA1854" w14:textId="77777777" w:rsidR="00445875" w:rsidRPr="00445875" w:rsidRDefault="000F4351" w:rsidP="00445875">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sz w:val="24"/>
          <w:szCs w:val="24"/>
        </w:rPr>
        <w:lastRenderedPageBreak/>
        <w:t>Between</w:t>
      </w:r>
      <w:r w:rsidR="00445875" w:rsidRPr="00445875">
        <w:rPr>
          <w:rFonts w:ascii="Segoe UI" w:eastAsia="Times New Roman" w:hAnsi="Segoe UI" w:cs="Segoe UI"/>
          <w:sz w:val="24"/>
          <w:szCs w:val="24"/>
        </w:rPr>
        <w:t xml:space="preserve"> mid-February </w:t>
      </w:r>
      <w:r>
        <w:rPr>
          <w:rFonts w:ascii="Segoe UI" w:eastAsia="Times New Roman" w:hAnsi="Segoe UI" w:cs="Segoe UI"/>
          <w:sz w:val="24"/>
          <w:szCs w:val="24"/>
        </w:rPr>
        <w:t>and</w:t>
      </w:r>
      <w:r w:rsidR="00445875" w:rsidRPr="00445875">
        <w:rPr>
          <w:rFonts w:ascii="Segoe UI" w:eastAsia="Times New Roman" w:hAnsi="Segoe UI" w:cs="Segoe UI"/>
          <w:sz w:val="24"/>
          <w:szCs w:val="24"/>
        </w:rPr>
        <w:t xml:space="preserve"> mid-July</w:t>
      </w:r>
      <w:r>
        <w:rPr>
          <w:rFonts w:ascii="Segoe UI" w:eastAsia="Times New Roman" w:hAnsi="Segoe UI" w:cs="Segoe UI"/>
          <w:sz w:val="24"/>
          <w:szCs w:val="24"/>
        </w:rPr>
        <w:t xml:space="preserve">, oil prices have historically risen due to several </w:t>
      </w:r>
      <w:r w:rsidR="00445875" w:rsidRPr="00445875">
        <w:rPr>
          <w:rFonts w:ascii="Segoe UI" w:eastAsia="Times New Roman" w:hAnsi="Segoe UI" w:cs="Segoe UI"/>
          <w:sz w:val="24"/>
          <w:szCs w:val="24"/>
        </w:rPr>
        <w:t>factors:</w:t>
      </w:r>
    </w:p>
    <w:p w14:paraId="00843027" w14:textId="77777777" w:rsidR="00445875" w:rsidRPr="00445875" w:rsidRDefault="00445875" w:rsidP="00445875">
      <w:pPr>
        <w:numPr>
          <w:ilvl w:val="0"/>
          <w:numId w:val="2"/>
        </w:num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Increased Summer Demand</w:t>
      </w:r>
      <w:r w:rsidRPr="00445875">
        <w:rPr>
          <w:rFonts w:ascii="Segoe UI" w:eastAsia="Times New Roman" w:hAnsi="Segoe UI" w:cs="Segoe UI"/>
          <w:sz w:val="24"/>
          <w:szCs w:val="24"/>
        </w:rPr>
        <w:t>: Warmer months lead to more travel, increasing fuel consumption.</w:t>
      </w:r>
    </w:p>
    <w:p w14:paraId="6A37EF47" w14:textId="77777777" w:rsidR="00445875" w:rsidRPr="00445875" w:rsidRDefault="00445875" w:rsidP="00445875">
      <w:pPr>
        <w:numPr>
          <w:ilvl w:val="0"/>
          <w:numId w:val="2"/>
        </w:num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Geopolitical Tensions</w:t>
      </w:r>
      <w:r w:rsidRPr="00445875">
        <w:rPr>
          <w:rFonts w:ascii="Segoe UI" w:eastAsia="Times New Roman" w:hAnsi="Segoe UI" w:cs="Segoe UI"/>
          <w:sz w:val="24"/>
          <w:szCs w:val="24"/>
        </w:rPr>
        <w:t>: Many oil-producing regions experience political instability that can affect supply.</w:t>
      </w:r>
    </w:p>
    <w:p w14:paraId="7EE36FF3" w14:textId="77777777" w:rsidR="00445875" w:rsidRPr="00445875" w:rsidRDefault="00445875" w:rsidP="00445875">
      <w:pPr>
        <w:numPr>
          <w:ilvl w:val="0"/>
          <w:numId w:val="2"/>
        </w:num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Production Cycles</w:t>
      </w:r>
      <w:r w:rsidRPr="00445875">
        <w:rPr>
          <w:rFonts w:ascii="Segoe UI" w:eastAsia="Times New Roman" w:hAnsi="Segoe UI" w:cs="Segoe UI"/>
          <w:sz w:val="24"/>
          <w:szCs w:val="24"/>
        </w:rPr>
        <w:t>: Refineries ramp up production in preparation for the peak summer driving season.</w:t>
      </w:r>
    </w:p>
    <w:p w14:paraId="764ABDED" w14:textId="77777777" w:rsidR="00445875" w:rsidRPr="00445875" w:rsidRDefault="00445875" w:rsidP="00445875">
      <w:pPr>
        <w:numPr>
          <w:ilvl w:val="0"/>
          <w:numId w:val="2"/>
        </w:num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Hurricane Season Disruptions</w:t>
      </w:r>
      <w:r w:rsidRPr="00445875">
        <w:rPr>
          <w:rFonts w:ascii="Segoe UI" w:eastAsia="Times New Roman" w:hAnsi="Segoe UI" w:cs="Segoe UI"/>
          <w:sz w:val="24"/>
          <w:szCs w:val="24"/>
        </w:rPr>
        <w:t>: Supply chains can be affected by hurricanes, particularly in the Gulf of Mexico.</w:t>
      </w:r>
    </w:p>
    <w:p w14:paraId="2C6528A8" w14:textId="77777777" w:rsidR="00445875" w:rsidRPr="00445875" w:rsidRDefault="00445875" w:rsidP="00445875">
      <w:pPr>
        <w:numPr>
          <w:ilvl w:val="0"/>
          <w:numId w:val="2"/>
        </w:num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b/>
          <w:bCs/>
          <w:sz w:val="24"/>
          <w:szCs w:val="24"/>
        </w:rPr>
        <w:t>OPEC Production Adjustments</w:t>
      </w:r>
      <w:r w:rsidRPr="00445875">
        <w:rPr>
          <w:rFonts w:ascii="Segoe UI" w:eastAsia="Times New Roman" w:hAnsi="Segoe UI" w:cs="Segoe UI"/>
          <w:sz w:val="24"/>
          <w:szCs w:val="24"/>
        </w:rPr>
        <w:t>: The Organization of the Petroleum Exporting Countries (OPEC) often makes supply changes that influence prices.</w:t>
      </w:r>
    </w:p>
    <w:p w14:paraId="3FD57CBD" w14:textId="77777777" w:rsidR="00445875" w:rsidRPr="00445875" w:rsidRDefault="00CB5BF7" w:rsidP="00445875">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sz w:val="24"/>
          <w:szCs w:val="24"/>
        </w:rPr>
        <w:t>By u</w:t>
      </w:r>
      <w:r w:rsidR="00445875" w:rsidRPr="00445875">
        <w:rPr>
          <w:rFonts w:ascii="Segoe UI" w:eastAsia="Times New Roman" w:hAnsi="Segoe UI" w:cs="Segoe UI"/>
          <w:sz w:val="24"/>
          <w:szCs w:val="24"/>
        </w:rPr>
        <w:t>nderstanding these influences</w:t>
      </w:r>
      <w:r>
        <w:rPr>
          <w:rFonts w:ascii="Segoe UI" w:eastAsia="Times New Roman" w:hAnsi="Segoe UI" w:cs="Segoe UI"/>
          <w:sz w:val="24"/>
          <w:szCs w:val="24"/>
        </w:rPr>
        <w:t xml:space="preserve">, traders can position themselves </w:t>
      </w:r>
      <w:r w:rsidR="00445875" w:rsidRPr="00445875">
        <w:rPr>
          <w:rFonts w:ascii="Segoe UI" w:eastAsia="Times New Roman" w:hAnsi="Segoe UI" w:cs="Segoe UI"/>
          <w:sz w:val="24"/>
          <w:szCs w:val="24"/>
        </w:rPr>
        <w:t>strategically for potential gains.</w:t>
      </w:r>
      <w:r>
        <w:rPr>
          <w:rFonts w:ascii="Segoe UI" w:eastAsia="Times New Roman" w:hAnsi="Segoe UI" w:cs="Segoe UI"/>
          <w:sz w:val="24"/>
          <w:szCs w:val="24"/>
        </w:rPr>
        <w:t xml:space="preserve"> (We’ll talk about two of my favorite strategies </w:t>
      </w:r>
      <w:r w:rsidR="009B5DDD">
        <w:rPr>
          <w:rFonts w:ascii="Segoe UI" w:eastAsia="Times New Roman" w:hAnsi="Segoe UI" w:cs="Segoe UI"/>
          <w:sz w:val="24"/>
          <w:szCs w:val="24"/>
        </w:rPr>
        <w:t>later</w:t>
      </w:r>
      <w:r>
        <w:rPr>
          <w:rFonts w:ascii="Segoe UI" w:eastAsia="Times New Roman" w:hAnsi="Segoe UI" w:cs="Segoe UI"/>
          <w:sz w:val="24"/>
          <w:szCs w:val="24"/>
        </w:rPr>
        <w:t xml:space="preserve"> in this report). </w:t>
      </w:r>
    </w:p>
    <w:p w14:paraId="7C1F31FA"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445875">
        <w:rPr>
          <w:rFonts w:ascii="Segoe UI" w:eastAsia="Times New Roman" w:hAnsi="Segoe UI" w:cs="Segoe UI"/>
          <w:b/>
          <w:bCs/>
          <w:sz w:val="27"/>
          <w:szCs w:val="27"/>
        </w:rPr>
        <w:t>Historical Performance of USO During This Pattern</w:t>
      </w:r>
    </w:p>
    <w:p w14:paraId="53CD436C"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From 2007 to 2024, USO has experienced a bullish trend </w:t>
      </w:r>
      <w:r w:rsidRPr="00C54370">
        <w:rPr>
          <w:rFonts w:ascii="Segoe UI" w:eastAsia="Times New Roman" w:hAnsi="Segoe UI" w:cs="Segoe UI"/>
          <w:b/>
          <w:bCs/>
          <w:sz w:val="24"/>
          <w:szCs w:val="24"/>
        </w:rPr>
        <w:t>72.2% of the time</w:t>
      </w:r>
      <w:r w:rsidRPr="00445875">
        <w:rPr>
          <w:rFonts w:ascii="Segoe UI" w:eastAsia="Times New Roman" w:hAnsi="Segoe UI" w:cs="Segoe UI"/>
          <w:sz w:val="24"/>
          <w:szCs w:val="24"/>
        </w:rPr>
        <w:t xml:space="preserve"> during this five-month window. That’s 13 out of 18 years showing positive returns. The average price increase over this period has been consistent, making it a compelling pattern for traders to leverage.</w:t>
      </w:r>
    </w:p>
    <w:p w14:paraId="04A06CF7" w14:textId="77777777" w:rsidR="00445875" w:rsidRPr="00445875" w:rsidRDefault="00000000" w:rsidP="00445875">
      <w:pPr>
        <w:spacing w:after="0" w:line="240" w:lineRule="auto"/>
        <w:rPr>
          <w:rFonts w:ascii="Segoe UI" w:eastAsia="Times New Roman" w:hAnsi="Segoe UI" w:cs="Segoe UI"/>
          <w:sz w:val="24"/>
          <w:szCs w:val="24"/>
        </w:rPr>
      </w:pPr>
      <w:r>
        <w:rPr>
          <w:rFonts w:ascii="Segoe UI" w:eastAsia="Times New Roman" w:hAnsi="Segoe UI" w:cs="Segoe UI"/>
          <w:sz w:val="24"/>
          <w:szCs w:val="24"/>
        </w:rPr>
        <w:pict w14:anchorId="0D04C328">
          <v:rect id="_x0000_i1028" style="width:0;height:1.5pt" o:hralign="center" o:hrstd="t" o:hr="t" fillcolor="#a0a0a0" stroked="f"/>
        </w:pict>
      </w:r>
    </w:p>
    <w:p w14:paraId="1980F455" w14:textId="77777777" w:rsidR="00445875" w:rsidRP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My Trading Strategies</w:t>
      </w:r>
    </w:p>
    <w:p w14:paraId="032A27FD" w14:textId="77777777" w:rsidR="005D7770" w:rsidRPr="005D7770" w:rsidRDefault="005D7770" w:rsidP="005D7770">
      <w:pPr>
        <w:spacing w:before="100" w:beforeAutospacing="1" w:after="100" w:afterAutospacing="1" w:line="240" w:lineRule="auto"/>
        <w:rPr>
          <w:rFonts w:ascii="Segoe UI" w:eastAsia="Times New Roman" w:hAnsi="Segoe UI" w:cs="Segoe UI"/>
          <w:color w:val="404040"/>
          <w:sz w:val="24"/>
        </w:rPr>
      </w:pPr>
      <w:r w:rsidRPr="005D7770">
        <w:rPr>
          <w:rFonts w:ascii="Segoe UI" w:eastAsia="Times New Roman" w:hAnsi="Segoe UI" w:cs="Segoe UI"/>
          <w:color w:val="404040"/>
          <w:sz w:val="24"/>
        </w:rPr>
        <w:t>My approach to options trading encompasses several styles, each tailored to different market conditions and opportunities:</w:t>
      </w:r>
    </w:p>
    <w:p w14:paraId="034CD6DA" w14:textId="77777777" w:rsidR="005D7770" w:rsidRPr="005D7770" w:rsidRDefault="005D7770" w:rsidP="005D7770">
      <w:pPr>
        <w:numPr>
          <w:ilvl w:val="0"/>
          <w:numId w:val="5"/>
        </w:numPr>
        <w:spacing w:after="0" w:line="240" w:lineRule="auto"/>
        <w:rPr>
          <w:rFonts w:ascii="Segoe UI" w:eastAsia="Times New Roman" w:hAnsi="Segoe UI" w:cs="Segoe UI"/>
          <w:color w:val="404040"/>
          <w:sz w:val="24"/>
        </w:rPr>
      </w:pPr>
      <w:r w:rsidRPr="005D7770">
        <w:rPr>
          <w:rFonts w:ascii="Segoe UI" w:eastAsia="Times New Roman" w:hAnsi="Segoe UI" w:cs="Segoe UI"/>
          <w:b/>
          <w:bCs/>
          <w:color w:val="404040"/>
          <w:sz w:val="24"/>
        </w:rPr>
        <w:t>Momentum Trading</w:t>
      </w:r>
      <w:r w:rsidRPr="005D7770">
        <w:rPr>
          <w:rFonts w:ascii="Segoe UI" w:eastAsia="Times New Roman" w:hAnsi="Segoe UI" w:cs="Segoe UI"/>
          <w:color w:val="404040"/>
          <w:sz w:val="24"/>
        </w:rPr>
        <w:t>: Capitalizing on securities that are trending strongly in one direction.</w:t>
      </w:r>
    </w:p>
    <w:p w14:paraId="35DB16AE" w14:textId="77777777" w:rsidR="005D7770" w:rsidRPr="005D7770" w:rsidRDefault="005D7770" w:rsidP="005D7770">
      <w:pPr>
        <w:numPr>
          <w:ilvl w:val="0"/>
          <w:numId w:val="5"/>
        </w:numPr>
        <w:spacing w:after="0" w:line="240" w:lineRule="auto"/>
        <w:rPr>
          <w:rFonts w:ascii="Segoe UI" w:eastAsia="Times New Roman" w:hAnsi="Segoe UI" w:cs="Segoe UI"/>
          <w:color w:val="404040"/>
          <w:sz w:val="24"/>
        </w:rPr>
      </w:pPr>
      <w:r w:rsidRPr="005D7770">
        <w:rPr>
          <w:rFonts w:ascii="Segoe UI" w:eastAsia="Times New Roman" w:hAnsi="Segoe UI" w:cs="Segoe UI"/>
          <w:b/>
          <w:bCs/>
          <w:color w:val="404040"/>
          <w:sz w:val="24"/>
        </w:rPr>
        <w:t>Contrarian Trading</w:t>
      </w:r>
      <w:r w:rsidRPr="005D7770">
        <w:rPr>
          <w:rFonts w:ascii="Segoe UI" w:eastAsia="Times New Roman" w:hAnsi="Segoe UI" w:cs="Segoe UI"/>
          <w:color w:val="404040"/>
          <w:sz w:val="24"/>
        </w:rPr>
        <w:t>: Taking positions against prevailing market sentiment, often during overbought or oversold conditions.</w:t>
      </w:r>
    </w:p>
    <w:p w14:paraId="3101E580" w14:textId="77777777" w:rsidR="005D7770" w:rsidRPr="005D7770" w:rsidRDefault="005D7770" w:rsidP="005D7770">
      <w:pPr>
        <w:numPr>
          <w:ilvl w:val="0"/>
          <w:numId w:val="5"/>
        </w:numPr>
        <w:spacing w:after="0" w:line="240" w:lineRule="auto"/>
        <w:rPr>
          <w:rFonts w:ascii="Segoe UI" w:eastAsia="Times New Roman" w:hAnsi="Segoe UI" w:cs="Segoe UI"/>
          <w:color w:val="404040"/>
          <w:sz w:val="24"/>
        </w:rPr>
      </w:pPr>
      <w:r w:rsidRPr="005D7770">
        <w:rPr>
          <w:rFonts w:ascii="Segoe UI" w:eastAsia="Times New Roman" w:hAnsi="Segoe UI" w:cs="Segoe UI"/>
          <w:b/>
          <w:bCs/>
          <w:color w:val="404040"/>
          <w:sz w:val="24"/>
        </w:rPr>
        <w:t>Volatility Trading</w:t>
      </w:r>
      <w:r w:rsidRPr="005D7770">
        <w:rPr>
          <w:rFonts w:ascii="Segoe UI" w:eastAsia="Times New Roman" w:hAnsi="Segoe UI" w:cs="Segoe UI"/>
          <w:color w:val="404040"/>
          <w:sz w:val="24"/>
        </w:rPr>
        <w:t>: Exploiting fluctuations in market volatility, often through strategies like straddles or strangles.</w:t>
      </w:r>
    </w:p>
    <w:p w14:paraId="30CE3EF6" w14:textId="77777777" w:rsidR="005D7770" w:rsidRPr="005D7770" w:rsidRDefault="005D7770" w:rsidP="005D7770">
      <w:pPr>
        <w:numPr>
          <w:ilvl w:val="0"/>
          <w:numId w:val="5"/>
        </w:numPr>
        <w:spacing w:after="0" w:line="240" w:lineRule="auto"/>
        <w:rPr>
          <w:rFonts w:ascii="Segoe UI" w:eastAsia="Times New Roman" w:hAnsi="Segoe UI" w:cs="Segoe UI"/>
          <w:color w:val="404040"/>
          <w:sz w:val="24"/>
        </w:rPr>
      </w:pPr>
      <w:r w:rsidRPr="005D7770">
        <w:rPr>
          <w:rFonts w:ascii="Segoe UI" w:eastAsia="Times New Roman" w:hAnsi="Segoe UI" w:cs="Segoe UI"/>
          <w:b/>
          <w:bCs/>
          <w:color w:val="404040"/>
          <w:sz w:val="24"/>
        </w:rPr>
        <w:t>Statistical Trading</w:t>
      </w:r>
      <w:r w:rsidRPr="005D7770">
        <w:rPr>
          <w:rFonts w:ascii="Segoe UI" w:eastAsia="Times New Roman" w:hAnsi="Segoe UI" w:cs="Segoe UI"/>
          <w:color w:val="404040"/>
          <w:sz w:val="24"/>
        </w:rPr>
        <w:t>: Using quantitative analysis and historical data to identify high-probability trading opportunities.</w:t>
      </w:r>
    </w:p>
    <w:p w14:paraId="73522693" w14:textId="77777777" w:rsidR="005D7770" w:rsidRPr="005D7770" w:rsidRDefault="005D7770" w:rsidP="005D7770">
      <w:pPr>
        <w:numPr>
          <w:ilvl w:val="0"/>
          <w:numId w:val="5"/>
        </w:numPr>
        <w:spacing w:after="0" w:line="240" w:lineRule="auto"/>
        <w:rPr>
          <w:rFonts w:ascii="Segoe UI" w:eastAsia="Times New Roman" w:hAnsi="Segoe UI" w:cs="Segoe UI"/>
          <w:color w:val="404040"/>
          <w:sz w:val="24"/>
        </w:rPr>
      </w:pPr>
      <w:r w:rsidRPr="005D7770">
        <w:rPr>
          <w:rFonts w:ascii="Segoe UI" w:eastAsia="Times New Roman" w:hAnsi="Segoe UI" w:cs="Segoe UI"/>
          <w:b/>
          <w:bCs/>
          <w:color w:val="404040"/>
          <w:sz w:val="24"/>
        </w:rPr>
        <w:lastRenderedPageBreak/>
        <w:t>Seasonal Trading</w:t>
      </w:r>
      <w:r w:rsidRPr="005D7770">
        <w:rPr>
          <w:rFonts w:ascii="Segoe UI" w:eastAsia="Times New Roman" w:hAnsi="Segoe UI" w:cs="Segoe UI"/>
          <w:color w:val="404040"/>
          <w:sz w:val="24"/>
        </w:rPr>
        <w:t>: Focusing on recurring patterns that occur during specific times of the year.</w:t>
      </w:r>
    </w:p>
    <w:p w14:paraId="319ED2FC" w14:textId="77777777" w:rsidR="00445875" w:rsidRPr="00445875" w:rsidRDefault="00445875" w:rsidP="005D7770">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This report is primarily focused on </w:t>
      </w:r>
      <w:r w:rsidRPr="00445875">
        <w:rPr>
          <w:rFonts w:ascii="Segoe UI" w:eastAsia="Times New Roman" w:hAnsi="Segoe UI" w:cs="Segoe UI"/>
          <w:b/>
          <w:sz w:val="24"/>
          <w:szCs w:val="24"/>
        </w:rPr>
        <w:t>seasonal trading</w:t>
      </w:r>
      <w:r w:rsidRPr="00445875">
        <w:rPr>
          <w:rFonts w:ascii="Segoe UI" w:eastAsia="Times New Roman" w:hAnsi="Segoe UI" w:cs="Segoe UI"/>
          <w:sz w:val="24"/>
          <w:szCs w:val="24"/>
        </w:rPr>
        <w:t>—using historical trends to anticipate price movements.</w:t>
      </w:r>
      <w:r w:rsidR="005D7770" w:rsidRPr="005D7770">
        <w:rPr>
          <w:rFonts w:ascii="Segoe UI" w:eastAsia="Times New Roman" w:hAnsi="Segoe UI" w:cs="Segoe UI"/>
          <w:color w:val="404040"/>
          <w:sz w:val="24"/>
          <w:szCs w:val="24"/>
        </w:rPr>
        <w:t xml:space="preserve"> </w:t>
      </w:r>
      <w:r w:rsidR="005D7770" w:rsidRPr="005D7770">
        <w:rPr>
          <w:rFonts w:ascii="Segoe UI" w:eastAsia="Times New Roman" w:hAnsi="Segoe UI" w:cs="Segoe UI"/>
          <w:sz w:val="24"/>
          <w:szCs w:val="24"/>
        </w:rPr>
        <w:t>Unlike holiday seasonality, which is tied to calendar events, the patterns discussed here are driven by broader market dynamics, such as supply and demand cycles, geopolitical events, and macroeconomic trends.</w:t>
      </w:r>
      <w:r w:rsidR="00000000">
        <w:rPr>
          <w:rFonts w:ascii="Segoe UI" w:eastAsia="Times New Roman" w:hAnsi="Segoe UI" w:cs="Segoe UI"/>
          <w:sz w:val="24"/>
          <w:szCs w:val="24"/>
        </w:rPr>
        <w:pict w14:anchorId="0ABF8FE7">
          <v:rect id="_x0000_i1029" style="width:0;height:1.5pt" o:hralign="center" o:hrstd="t" o:hr="t" fillcolor="#a0a0a0" stroked="f"/>
        </w:pict>
      </w:r>
    </w:p>
    <w:p w14:paraId="3510D182" w14:textId="77777777" w:rsid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 xml:space="preserve">My </w:t>
      </w:r>
      <w:r w:rsidR="003856F9">
        <w:rPr>
          <w:rFonts w:ascii="Segoe UI" w:eastAsia="Times New Roman" w:hAnsi="Segoe UI" w:cs="Segoe UI"/>
          <w:b/>
          <w:bCs/>
          <w:sz w:val="36"/>
          <w:szCs w:val="36"/>
        </w:rPr>
        <w:t>3</w:t>
      </w:r>
      <w:r w:rsidRPr="00445875">
        <w:rPr>
          <w:rFonts w:ascii="Segoe UI" w:eastAsia="Times New Roman" w:hAnsi="Segoe UI" w:cs="Segoe UI"/>
          <w:b/>
          <w:bCs/>
          <w:sz w:val="36"/>
          <w:szCs w:val="36"/>
        </w:rPr>
        <w:t>-Step Process for Trading Pattern</w:t>
      </w:r>
      <w:r w:rsidR="003856F9">
        <w:rPr>
          <w:rFonts w:ascii="Segoe UI" w:eastAsia="Times New Roman" w:hAnsi="Segoe UI" w:cs="Segoe UI"/>
          <w:b/>
          <w:bCs/>
          <w:sz w:val="36"/>
          <w:szCs w:val="36"/>
        </w:rPr>
        <w:t>s</w:t>
      </w:r>
    </w:p>
    <w:p w14:paraId="61423866" w14:textId="77777777" w:rsidR="008E057A" w:rsidRPr="00445875" w:rsidRDefault="008E057A" w:rsidP="00445875">
      <w:pPr>
        <w:spacing w:before="100" w:beforeAutospacing="1" w:after="100" w:afterAutospacing="1" w:line="240" w:lineRule="auto"/>
        <w:outlineLvl w:val="1"/>
        <w:rPr>
          <w:rFonts w:ascii="Segoe UI" w:eastAsia="Times New Roman" w:hAnsi="Segoe UI" w:cs="Segoe UI"/>
          <w:b/>
          <w:bCs/>
          <w:sz w:val="36"/>
          <w:szCs w:val="36"/>
        </w:rPr>
      </w:pPr>
      <w:r>
        <w:rPr>
          <w:rFonts w:ascii="Segoe UI" w:eastAsia="Times New Roman" w:hAnsi="Segoe UI" w:cs="Segoe UI"/>
          <w:noProof/>
          <w:color w:val="404040"/>
        </w:rPr>
        <w:drawing>
          <wp:inline distT="0" distB="0" distL="0" distR="0" wp14:anchorId="7200577F" wp14:editId="1229A763">
            <wp:extent cx="2855934" cy="2855934"/>
            <wp:effectExtent l="0" t="0" r="190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steps.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64159" cy="2864159"/>
                    </a:xfrm>
                    <a:prstGeom prst="rect">
                      <a:avLst/>
                    </a:prstGeom>
                  </pic:spPr>
                </pic:pic>
              </a:graphicData>
            </a:graphic>
          </wp:inline>
        </w:drawing>
      </w:r>
    </w:p>
    <w:p w14:paraId="447A8888" w14:textId="77777777" w:rsidR="00080F27" w:rsidRPr="00080F27" w:rsidRDefault="00445875" w:rsidP="00080F27">
      <w:pPr>
        <w:spacing w:before="100" w:beforeAutospacing="1" w:after="100" w:afterAutospacing="1" w:line="240" w:lineRule="auto"/>
        <w:outlineLvl w:val="2"/>
        <w:rPr>
          <w:rFonts w:ascii="Segoe UI" w:eastAsia="Times New Roman" w:hAnsi="Segoe UI" w:cs="Segoe UI"/>
          <w:sz w:val="24"/>
          <w:szCs w:val="24"/>
        </w:rPr>
      </w:pPr>
      <w:r w:rsidRPr="00445875">
        <w:rPr>
          <w:rFonts w:ascii="Segoe UI" w:eastAsia="Times New Roman" w:hAnsi="Segoe UI" w:cs="Segoe UI"/>
          <w:b/>
          <w:bCs/>
          <w:sz w:val="27"/>
          <w:szCs w:val="27"/>
        </w:rPr>
        <w:t xml:space="preserve">1. </w:t>
      </w:r>
      <w:r w:rsidR="00080F27">
        <w:rPr>
          <w:rFonts w:ascii="Segoe UI" w:eastAsia="Times New Roman" w:hAnsi="Segoe UI" w:cs="Segoe UI"/>
          <w:b/>
          <w:bCs/>
          <w:sz w:val="27"/>
          <w:szCs w:val="27"/>
        </w:rPr>
        <w:t>Spot</w:t>
      </w:r>
      <w:r w:rsidRPr="00445875">
        <w:rPr>
          <w:rFonts w:ascii="Segoe UI" w:eastAsia="Times New Roman" w:hAnsi="Segoe UI" w:cs="Segoe UI"/>
          <w:b/>
          <w:bCs/>
          <w:sz w:val="27"/>
          <w:szCs w:val="27"/>
        </w:rPr>
        <w:t xml:space="preserve"> the Opportunity</w:t>
      </w:r>
      <w:r w:rsidRPr="00445875">
        <w:rPr>
          <w:rFonts w:ascii="Segoe UI" w:eastAsia="Times New Roman" w:hAnsi="Segoe UI" w:cs="Segoe UI"/>
          <w:sz w:val="24"/>
          <w:szCs w:val="24"/>
        </w:rPr>
        <w:br/>
      </w:r>
      <w:r w:rsidR="00080F27" w:rsidRPr="00080F27">
        <w:rPr>
          <w:rFonts w:ascii="Segoe UI" w:eastAsia="Times New Roman" w:hAnsi="Segoe UI" w:cs="Segoe UI"/>
          <w:sz w:val="24"/>
          <w:szCs w:val="24"/>
        </w:rPr>
        <w:t xml:space="preserve">The first step is to identify a security that is likely to move in price. In the case of oil, the </w:t>
      </w:r>
      <w:r w:rsidR="00080F27" w:rsidRPr="00080F27">
        <w:rPr>
          <w:rFonts w:ascii="Segoe UI" w:eastAsia="Times New Roman" w:hAnsi="Segoe UI" w:cs="Segoe UI"/>
          <w:b/>
          <w:sz w:val="24"/>
          <w:szCs w:val="24"/>
        </w:rPr>
        <w:t>United States Oil Fund (USO)</w:t>
      </w:r>
      <w:r w:rsidR="00080F27" w:rsidRPr="00080F27">
        <w:rPr>
          <w:rFonts w:ascii="Segoe UI" w:eastAsia="Times New Roman" w:hAnsi="Segoe UI" w:cs="Segoe UI"/>
          <w:sz w:val="24"/>
          <w:szCs w:val="24"/>
        </w:rPr>
        <w:t xml:space="preserve"> serves as an excellent proxy for the broader oil market. By analyzing historical data, I have identified a consistent bullish trend in USO from mid-February to mid-July.</w:t>
      </w:r>
    </w:p>
    <w:p w14:paraId="2BD49D54"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445875">
        <w:rPr>
          <w:rFonts w:ascii="Segoe UI" w:eastAsia="Times New Roman" w:hAnsi="Segoe UI" w:cs="Segoe UI"/>
          <w:b/>
          <w:bCs/>
          <w:sz w:val="27"/>
          <w:szCs w:val="27"/>
        </w:rPr>
        <w:t xml:space="preserve">2. </w:t>
      </w:r>
      <w:r w:rsidR="00080F27">
        <w:rPr>
          <w:rFonts w:ascii="Segoe UI" w:eastAsia="Times New Roman" w:hAnsi="Segoe UI" w:cs="Segoe UI"/>
          <w:b/>
          <w:bCs/>
          <w:sz w:val="27"/>
          <w:szCs w:val="27"/>
        </w:rPr>
        <w:t>Build an Acceptable-Risk Trade</w:t>
      </w:r>
    </w:p>
    <w:p w14:paraId="16A463C7"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Building a trade with an acceptable risk level is key. This includes:</w:t>
      </w:r>
    </w:p>
    <w:p w14:paraId="3B948EFA" w14:textId="77777777" w:rsidR="00445875" w:rsidRPr="00445875" w:rsidRDefault="00445875" w:rsidP="00445875">
      <w:pPr>
        <w:numPr>
          <w:ilvl w:val="0"/>
          <w:numId w:val="3"/>
        </w:num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Choosing the right options strategy (long calls, debit spreads, etc.).</w:t>
      </w:r>
    </w:p>
    <w:p w14:paraId="4D3DE3D0" w14:textId="77777777" w:rsidR="00445875" w:rsidRPr="00445875" w:rsidRDefault="00445875" w:rsidP="00445875">
      <w:pPr>
        <w:numPr>
          <w:ilvl w:val="0"/>
          <w:numId w:val="3"/>
        </w:num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Setting risk levels to protect against major market fluctuations.</w:t>
      </w:r>
    </w:p>
    <w:p w14:paraId="5A5977FB" w14:textId="77777777" w:rsidR="00445875" w:rsidRPr="00445875" w:rsidRDefault="00445875" w:rsidP="00445875">
      <w:pPr>
        <w:numPr>
          <w:ilvl w:val="0"/>
          <w:numId w:val="3"/>
        </w:num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Selecting an expiration date that aligns with the seasonal trend.</w:t>
      </w:r>
    </w:p>
    <w:p w14:paraId="355CB4B9"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445875">
        <w:rPr>
          <w:rFonts w:ascii="Segoe UI" w:eastAsia="Times New Roman" w:hAnsi="Segoe UI" w:cs="Segoe UI"/>
          <w:b/>
          <w:bCs/>
          <w:sz w:val="27"/>
          <w:szCs w:val="27"/>
        </w:rPr>
        <w:lastRenderedPageBreak/>
        <w:t xml:space="preserve">3. Managing the Trade </w:t>
      </w:r>
    </w:p>
    <w:p w14:paraId="408DDD32" w14:textId="77777777" w:rsidR="00080F27" w:rsidRPr="00080F27" w:rsidRDefault="00445875" w:rsidP="00080F27">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A well-managed trade includes setting clear exit strategies. </w:t>
      </w:r>
      <w:r w:rsidR="00080F27" w:rsidRPr="00080F27">
        <w:rPr>
          <w:rFonts w:ascii="Segoe UI" w:eastAsia="Times New Roman" w:hAnsi="Segoe UI" w:cs="Segoe UI"/>
          <w:sz w:val="24"/>
          <w:szCs w:val="24"/>
        </w:rPr>
        <w:t>This includes setting realistic return on investment (ROI) goals, using stop-loss orders, and adjusting positions as market conditions change.</w:t>
      </w:r>
    </w:p>
    <w:p w14:paraId="1D6BA5A7" w14:textId="77777777" w:rsidR="00445875" w:rsidRPr="00445875" w:rsidRDefault="00000000" w:rsidP="00445875">
      <w:pPr>
        <w:spacing w:after="0" w:line="240" w:lineRule="auto"/>
        <w:rPr>
          <w:rFonts w:ascii="Segoe UI" w:eastAsia="Times New Roman" w:hAnsi="Segoe UI" w:cs="Segoe UI"/>
          <w:sz w:val="24"/>
          <w:szCs w:val="24"/>
        </w:rPr>
      </w:pPr>
      <w:r>
        <w:rPr>
          <w:rFonts w:ascii="Segoe UI" w:eastAsia="Times New Roman" w:hAnsi="Segoe UI" w:cs="Segoe UI"/>
          <w:sz w:val="24"/>
          <w:szCs w:val="24"/>
        </w:rPr>
        <w:pict w14:anchorId="63074B5E">
          <v:rect id="_x0000_i1030" style="width:0;height:1.5pt" o:hralign="center" o:hrstd="t" o:hr="t" fillcolor="#a0a0a0" stroked="f"/>
        </w:pict>
      </w:r>
    </w:p>
    <w:p w14:paraId="45BEAD04" w14:textId="77777777" w:rsidR="00445875" w:rsidRDefault="00564004" w:rsidP="00445875">
      <w:pPr>
        <w:spacing w:before="100" w:beforeAutospacing="1" w:after="100" w:afterAutospacing="1" w:line="240" w:lineRule="auto"/>
        <w:outlineLvl w:val="1"/>
        <w:rPr>
          <w:rFonts w:ascii="Segoe UI" w:eastAsia="Times New Roman" w:hAnsi="Segoe UI" w:cs="Segoe UI"/>
          <w:b/>
          <w:bCs/>
          <w:sz w:val="36"/>
          <w:szCs w:val="36"/>
        </w:rPr>
      </w:pPr>
      <w:r>
        <w:rPr>
          <w:rFonts w:ascii="Segoe UI" w:eastAsia="Times New Roman" w:hAnsi="Segoe UI" w:cs="Segoe UI"/>
          <w:b/>
          <w:bCs/>
          <w:sz w:val="36"/>
          <w:szCs w:val="36"/>
        </w:rPr>
        <w:t>Breaking Down USO and This Seasonal Pattern</w:t>
      </w:r>
    </w:p>
    <w:p w14:paraId="3F0058E1" w14:textId="77777777" w:rsidR="00564004" w:rsidRPr="00445875" w:rsidRDefault="00564004" w:rsidP="00445875">
      <w:pPr>
        <w:spacing w:before="100" w:beforeAutospacing="1" w:after="100" w:afterAutospacing="1" w:line="240" w:lineRule="auto"/>
        <w:outlineLvl w:val="1"/>
        <w:rPr>
          <w:rFonts w:ascii="Segoe UI" w:eastAsia="Times New Roman" w:hAnsi="Segoe UI" w:cs="Segoe UI"/>
          <w:b/>
          <w:bCs/>
          <w:sz w:val="36"/>
          <w:szCs w:val="36"/>
        </w:rPr>
      </w:pPr>
      <w:r>
        <w:rPr>
          <w:rFonts w:ascii="Segoe UI" w:eastAsia="Times New Roman" w:hAnsi="Segoe UI" w:cs="Segoe UI"/>
          <w:b/>
          <w:bCs/>
          <w:noProof/>
          <w:sz w:val="36"/>
          <w:szCs w:val="36"/>
        </w:rPr>
        <w:drawing>
          <wp:inline distT="0" distB="0" distL="0" distR="0" wp14:anchorId="29E33D27" wp14:editId="0DADB925">
            <wp:extent cx="2713973" cy="27139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O.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4615" cy="2724615"/>
                    </a:xfrm>
                    <a:prstGeom prst="rect">
                      <a:avLst/>
                    </a:prstGeom>
                  </pic:spPr>
                </pic:pic>
              </a:graphicData>
            </a:graphic>
          </wp:inline>
        </w:drawing>
      </w:r>
    </w:p>
    <w:p w14:paraId="0B5E9532"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Instead of focusing on individual oil stocks, I use USO as a broad market indicator. Since its launch in 2006, USO has followed a bullish trend from mid-February to mid-July </w:t>
      </w:r>
      <w:r w:rsidRPr="00C54370">
        <w:rPr>
          <w:rFonts w:ascii="Segoe UI" w:eastAsia="Times New Roman" w:hAnsi="Segoe UI" w:cs="Segoe UI"/>
          <w:b/>
          <w:bCs/>
          <w:sz w:val="24"/>
          <w:szCs w:val="24"/>
        </w:rPr>
        <w:t>72% of the time</w:t>
      </w:r>
      <w:r w:rsidRPr="00445875">
        <w:rPr>
          <w:rFonts w:ascii="Segoe UI" w:eastAsia="Times New Roman" w:hAnsi="Segoe UI" w:cs="Segoe UI"/>
          <w:sz w:val="24"/>
          <w:szCs w:val="24"/>
        </w:rPr>
        <w:t>. That’s a strong historical precedent!</w:t>
      </w:r>
    </w:p>
    <w:p w14:paraId="468E5064" w14:textId="77777777" w:rsidR="00564004" w:rsidRDefault="00345F2A" w:rsidP="00437E8A">
      <w:pPr>
        <w:spacing w:before="100" w:beforeAutospacing="1" w:after="100" w:afterAutospacing="1" w:line="240" w:lineRule="auto"/>
        <w:rPr>
          <w:rFonts w:ascii="Segoe UI" w:eastAsia="Times New Roman" w:hAnsi="Segoe UI" w:cs="Segoe UI"/>
          <w:b/>
          <w:bCs/>
          <w:sz w:val="24"/>
          <w:szCs w:val="24"/>
        </w:rPr>
      </w:pPr>
      <w:r>
        <w:rPr>
          <w:noProof/>
        </w:rPr>
        <w:lastRenderedPageBreak/>
        <w:drawing>
          <wp:inline distT="0" distB="0" distL="0" distR="0" wp14:anchorId="5CA467DA" wp14:editId="2A3104DE">
            <wp:extent cx="5373666" cy="3804839"/>
            <wp:effectExtent l="76200" t="76200" r="132080" b="139065"/>
            <wp:docPr id="128185008" name="Picture 1" descr="A graph of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5008" name="Picture 1" descr="A graph of stock market&#10;&#10;Description automatically generated"/>
                    <pic:cNvPicPr/>
                  </pic:nvPicPr>
                  <pic:blipFill>
                    <a:blip r:embed="rId9"/>
                    <a:stretch>
                      <a:fillRect/>
                    </a:stretch>
                  </pic:blipFill>
                  <pic:spPr>
                    <a:xfrm>
                      <a:off x="0" y="0"/>
                      <a:ext cx="5415057" cy="38341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AEF321" w14:textId="77777777" w:rsidR="00564004" w:rsidRDefault="00564004" w:rsidP="00564004">
      <w:pPr>
        <w:spacing w:before="100" w:beforeAutospacing="1" w:after="100" w:afterAutospacing="1" w:line="240" w:lineRule="auto"/>
        <w:rPr>
          <w:rFonts w:ascii="Segoe UI" w:eastAsia="Times New Roman" w:hAnsi="Segoe UI" w:cs="Segoe UI"/>
          <w:bCs/>
          <w:sz w:val="24"/>
          <w:szCs w:val="24"/>
        </w:rPr>
      </w:pPr>
      <w:r>
        <w:rPr>
          <w:rFonts w:ascii="Segoe UI" w:eastAsia="Times New Roman" w:hAnsi="Segoe UI" w:cs="Segoe UI"/>
          <w:bCs/>
          <w:sz w:val="24"/>
          <w:szCs w:val="24"/>
        </w:rPr>
        <w:t xml:space="preserve">Why USO, you may be asking? </w:t>
      </w:r>
    </w:p>
    <w:p w14:paraId="3EB21AEC" w14:textId="77777777" w:rsidR="00445875" w:rsidRPr="00445875" w:rsidRDefault="00564004" w:rsidP="00564004">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bCs/>
          <w:sz w:val="24"/>
          <w:szCs w:val="24"/>
        </w:rPr>
        <w:t xml:space="preserve">Easy! </w:t>
      </w:r>
      <w:r w:rsidR="00437E8A">
        <w:rPr>
          <w:rFonts w:ascii="Segoe UI" w:eastAsia="Times New Roman" w:hAnsi="Segoe UI" w:cs="Segoe UI"/>
          <w:sz w:val="24"/>
          <w:szCs w:val="24"/>
        </w:rPr>
        <w:t>It’s</w:t>
      </w:r>
      <w:r w:rsidR="00445875" w:rsidRPr="00445875">
        <w:rPr>
          <w:rFonts w:ascii="Segoe UI" w:eastAsia="Times New Roman" w:hAnsi="Segoe UI" w:cs="Segoe UI"/>
          <w:sz w:val="24"/>
          <w:szCs w:val="24"/>
        </w:rPr>
        <w:t xml:space="preserve"> designed to track crude oil prices, making it a more predictable instrument for seasonal trading compared to individual stocks.</w:t>
      </w:r>
    </w:p>
    <w:p w14:paraId="51BF92B8" w14:textId="77777777" w:rsidR="00445875" w:rsidRPr="00445875" w:rsidRDefault="00000000" w:rsidP="00445875">
      <w:pPr>
        <w:spacing w:after="0" w:line="240" w:lineRule="auto"/>
        <w:rPr>
          <w:rFonts w:ascii="Segoe UI" w:eastAsia="Times New Roman" w:hAnsi="Segoe UI" w:cs="Segoe UI"/>
          <w:sz w:val="24"/>
          <w:szCs w:val="24"/>
        </w:rPr>
      </w:pPr>
      <w:r>
        <w:rPr>
          <w:rFonts w:ascii="Segoe UI" w:eastAsia="Times New Roman" w:hAnsi="Segoe UI" w:cs="Segoe UI"/>
          <w:sz w:val="24"/>
          <w:szCs w:val="24"/>
        </w:rPr>
        <w:pict w14:anchorId="359476FD">
          <v:rect id="_x0000_i1031" style="width:0;height:1.5pt" o:hralign="center" o:hrstd="t" o:hr="t" fillcolor="#a0a0a0" stroked="f"/>
        </w:pict>
      </w:r>
    </w:p>
    <w:p w14:paraId="3D6C8585" w14:textId="77777777" w:rsidR="000D3D1F" w:rsidRPr="000D3D1F" w:rsidRDefault="000D3D1F" w:rsidP="000D3D1F">
      <w:pPr>
        <w:spacing w:before="100" w:beforeAutospacing="1" w:after="100" w:afterAutospacing="1" w:line="240" w:lineRule="auto"/>
        <w:outlineLvl w:val="1"/>
        <w:rPr>
          <w:rFonts w:ascii="Segoe UI" w:eastAsia="Times New Roman" w:hAnsi="Segoe UI" w:cs="Segoe UI"/>
          <w:b/>
          <w:bCs/>
          <w:sz w:val="36"/>
          <w:szCs w:val="36"/>
        </w:rPr>
      </w:pPr>
      <w:r w:rsidRPr="000D3D1F">
        <w:rPr>
          <w:rFonts w:ascii="Segoe UI" w:eastAsia="Times New Roman" w:hAnsi="Segoe UI" w:cs="Segoe UI"/>
          <w:b/>
          <w:bCs/>
          <w:sz w:val="36"/>
          <w:szCs w:val="36"/>
        </w:rPr>
        <w:t>Oil Sector Bullishness</w:t>
      </w:r>
    </w:p>
    <w:p w14:paraId="074B0FA5" w14:textId="77777777" w:rsidR="000D3D1F" w:rsidRPr="000D3D1F" w:rsidRDefault="000D3D1F" w:rsidP="000D3D1F">
      <w:pPr>
        <w:spacing w:before="100" w:beforeAutospacing="1" w:after="100" w:afterAutospacing="1" w:line="240" w:lineRule="auto"/>
        <w:outlineLvl w:val="1"/>
        <w:rPr>
          <w:rFonts w:ascii="Segoe UI" w:eastAsia="Times New Roman" w:hAnsi="Segoe UI" w:cs="Segoe UI"/>
          <w:bCs/>
          <w:sz w:val="24"/>
          <w:szCs w:val="24"/>
        </w:rPr>
      </w:pPr>
      <w:r>
        <w:rPr>
          <w:rFonts w:ascii="Segoe UI" w:eastAsia="Times New Roman" w:hAnsi="Segoe UI" w:cs="Segoe UI"/>
          <w:bCs/>
          <w:sz w:val="24"/>
          <w:szCs w:val="24"/>
        </w:rPr>
        <w:t xml:space="preserve">Between </w:t>
      </w:r>
      <w:r w:rsidRPr="000D3D1F">
        <w:rPr>
          <w:rFonts w:ascii="Segoe UI" w:eastAsia="Times New Roman" w:hAnsi="Segoe UI" w:cs="Segoe UI"/>
          <w:bCs/>
          <w:sz w:val="24"/>
          <w:szCs w:val="24"/>
        </w:rPr>
        <w:t>2007 to 2024, USO traded higher in 13 out of 18 years</w:t>
      </w:r>
      <w:r>
        <w:rPr>
          <w:rFonts w:ascii="Segoe UI" w:eastAsia="Times New Roman" w:hAnsi="Segoe UI" w:cs="Segoe UI"/>
          <w:bCs/>
          <w:sz w:val="24"/>
          <w:szCs w:val="24"/>
        </w:rPr>
        <w:t>.</w:t>
      </w:r>
      <w:r w:rsidR="006C5F2E">
        <w:rPr>
          <w:rFonts w:ascii="Segoe UI" w:eastAsia="Times New Roman" w:hAnsi="Segoe UI" w:cs="Segoe UI"/>
          <w:bCs/>
          <w:sz w:val="24"/>
          <w:szCs w:val="24"/>
        </w:rPr>
        <w:t xml:space="preserve"> That’s a 72.2%-win rate! T</w:t>
      </w:r>
      <w:r w:rsidRPr="000D3D1F">
        <w:rPr>
          <w:rFonts w:ascii="Segoe UI" w:eastAsia="Times New Roman" w:hAnsi="Segoe UI" w:cs="Segoe UI"/>
          <w:bCs/>
          <w:sz w:val="24"/>
          <w:szCs w:val="24"/>
        </w:rPr>
        <w:t>his pattern is driven by a combination of factors, including increased demand during the summer driving season, geopolitical tensions, and supply constraints.</w:t>
      </w:r>
    </w:p>
    <w:p w14:paraId="65A3D5A0" w14:textId="77777777" w:rsidR="006C5F2E" w:rsidRDefault="006C5F2E" w:rsidP="000D3D1F">
      <w:pPr>
        <w:spacing w:before="100" w:beforeAutospacing="1" w:after="100" w:afterAutospacing="1" w:line="240" w:lineRule="auto"/>
        <w:outlineLvl w:val="1"/>
        <w:rPr>
          <w:rFonts w:ascii="Segoe UI" w:eastAsia="Times New Roman" w:hAnsi="Segoe UI" w:cs="Segoe UI"/>
          <w:b/>
          <w:bCs/>
          <w:sz w:val="24"/>
          <w:szCs w:val="24"/>
        </w:rPr>
      </w:pPr>
      <w:r>
        <w:rPr>
          <w:rFonts w:ascii="Segoe UI" w:eastAsia="Times New Roman" w:hAnsi="Segoe UI" w:cs="Segoe UI"/>
          <w:bCs/>
          <w:sz w:val="24"/>
          <w:szCs w:val="24"/>
        </w:rPr>
        <w:t xml:space="preserve">The following is a </w:t>
      </w:r>
      <w:r w:rsidR="000D3D1F" w:rsidRPr="000D3D1F">
        <w:rPr>
          <w:rFonts w:ascii="Segoe UI" w:eastAsia="Times New Roman" w:hAnsi="Segoe UI" w:cs="Segoe UI"/>
          <w:bCs/>
          <w:sz w:val="24"/>
          <w:szCs w:val="24"/>
        </w:rPr>
        <w:t xml:space="preserve">spreadsheet </w:t>
      </w:r>
      <w:r>
        <w:rPr>
          <w:rFonts w:ascii="Segoe UI" w:eastAsia="Times New Roman" w:hAnsi="Segoe UI" w:cs="Segoe UI"/>
          <w:bCs/>
          <w:sz w:val="24"/>
          <w:szCs w:val="24"/>
        </w:rPr>
        <w:t>showing</w:t>
      </w:r>
      <w:r w:rsidR="000D3D1F" w:rsidRPr="000D3D1F">
        <w:rPr>
          <w:rFonts w:ascii="Segoe UI" w:eastAsia="Times New Roman" w:hAnsi="Segoe UI" w:cs="Segoe UI"/>
          <w:bCs/>
          <w:sz w:val="24"/>
          <w:szCs w:val="24"/>
        </w:rPr>
        <w:t xml:space="preserve"> </w:t>
      </w:r>
      <w:r>
        <w:rPr>
          <w:rFonts w:ascii="Segoe UI" w:eastAsia="Times New Roman" w:hAnsi="Segoe UI" w:cs="Segoe UI"/>
          <w:bCs/>
          <w:sz w:val="24"/>
          <w:szCs w:val="24"/>
        </w:rPr>
        <w:t xml:space="preserve">price </w:t>
      </w:r>
      <w:r w:rsidR="000D3D1F" w:rsidRPr="000D3D1F">
        <w:rPr>
          <w:rFonts w:ascii="Segoe UI" w:eastAsia="Times New Roman" w:hAnsi="Segoe UI" w:cs="Segoe UI"/>
          <w:bCs/>
          <w:sz w:val="24"/>
          <w:szCs w:val="24"/>
        </w:rPr>
        <w:t xml:space="preserve">data </w:t>
      </w:r>
      <w:r>
        <w:rPr>
          <w:rFonts w:ascii="Segoe UI" w:eastAsia="Times New Roman" w:hAnsi="Segoe UI" w:cs="Segoe UI"/>
          <w:bCs/>
          <w:sz w:val="24"/>
          <w:szCs w:val="24"/>
        </w:rPr>
        <w:t>(open and closing price) for USO on the dates analyzed</w:t>
      </w:r>
      <w:r w:rsidR="00A10D9E">
        <w:rPr>
          <w:rFonts w:ascii="Segoe UI" w:eastAsia="Times New Roman" w:hAnsi="Segoe UI" w:cs="Segoe UI"/>
          <w:bCs/>
          <w:sz w:val="24"/>
          <w:szCs w:val="24"/>
        </w:rPr>
        <w:t xml:space="preserve"> (sourced from</w:t>
      </w:r>
      <w:r>
        <w:rPr>
          <w:rFonts w:ascii="Segoe UI" w:eastAsia="Times New Roman" w:hAnsi="Segoe UI" w:cs="Segoe UI"/>
          <w:bCs/>
          <w:sz w:val="24"/>
          <w:szCs w:val="24"/>
        </w:rPr>
        <w:t xml:space="preserve"> </w:t>
      </w:r>
      <w:hyperlink r:id="rId10" w:history="1">
        <w:r w:rsidR="00A10D9E" w:rsidRPr="00C65957">
          <w:rPr>
            <w:rStyle w:val="Hyperlink"/>
            <w:rFonts w:ascii="Segoe UI" w:eastAsia="Times New Roman" w:hAnsi="Segoe UI" w:cs="Segoe UI"/>
            <w:b/>
            <w:bCs/>
            <w:sz w:val="24"/>
            <w:szCs w:val="24"/>
          </w:rPr>
          <w:t>www.tomsoptiontools.com</w:t>
        </w:r>
      </w:hyperlink>
      <w:r w:rsidRPr="00A10D9E">
        <w:rPr>
          <w:rFonts w:ascii="Segoe UI" w:eastAsia="Times New Roman" w:hAnsi="Segoe UI" w:cs="Segoe UI"/>
          <w:bCs/>
          <w:sz w:val="24"/>
          <w:szCs w:val="24"/>
        </w:rPr>
        <w:t>):</w:t>
      </w:r>
    </w:p>
    <w:p w14:paraId="59474D2A" w14:textId="77777777" w:rsidR="00A10D9E" w:rsidRPr="00A10D9E" w:rsidRDefault="00A10D9E" w:rsidP="00A10D9E">
      <w:pPr>
        <w:spacing w:before="100" w:beforeAutospacing="1" w:after="100" w:afterAutospacing="1" w:line="240" w:lineRule="auto"/>
        <w:outlineLvl w:val="1"/>
        <w:rPr>
          <w:rFonts w:ascii="Segoe UI" w:eastAsia="Times New Roman" w:hAnsi="Segoe UI" w:cs="Segoe UI"/>
          <w:b/>
          <w:bCs/>
          <w:sz w:val="24"/>
          <w:szCs w:val="24"/>
        </w:rPr>
      </w:pPr>
      <w:r w:rsidRPr="00A10D9E">
        <w:rPr>
          <w:rFonts w:ascii="Segoe UI" w:eastAsia="Times New Roman" w:hAnsi="Segoe UI" w:cs="Segoe UI"/>
          <w:b/>
          <w:bCs/>
          <w:sz w:val="24"/>
          <w:szCs w:val="24"/>
        </w:rPr>
        <w:t>Bullish Seasonal Data for USO 2007-2024</w:t>
      </w:r>
    </w:p>
    <w:p w14:paraId="1F682FA2" w14:textId="77777777" w:rsidR="00A10D9E" w:rsidRPr="006C5F2E" w:rsidRDefault="00A10D9E" w:rsidP="000D3D1F">
      <w:pPr>
        <w:spacing w:before="100" w:beforeAutospacing="1" w:after="100" w:afterAutospacing="1" w:line="240" w:lineRule="auto"/>
        <w:outlineLvl w:val="1"/>
        <w:rPr>
          <w:rFonts w:ascii="Segoe UI" w:eastAsia="Times New Roman" w:hAnsi="Segoe UI" w:cs="Segoe UI"/>
          <w:bCs/>
          <w:sz w:val="24"/>
          <w:szCs w:val="24"/>
        </w:rPr>
      </w:pPr>
      <w:r w:rsidRPr="00A62A13">
        <w:rPr>
          <w:noProof/>
        </w:rPr>
        <w:lastRenderedPageBreak/>
        <w:drawing>
          <wp:inline distT="0" distB="0" distL="0" distR="0" wp14:anchorId="1BA5A68C" wp14:editId="3CF30C25">
            <wp:extent cx="5942859" cy="3890433"/>
            <wp:effectExtent l="0" t="0" r="1270" b="0"/>
            <wp:docPr id="31477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3763" cy="3904117"/>
                    </a:xfrm>
                    <a:prstGeom prst="rect">
                      <a:avLst/>
                    </a:prstGeom>
                    <a:noFill/>
                    <a:ln>
                      <a:noFill/>
                    </a:ln>
                  </pic:spPr>
                </pic:pic>
              </a:graphicData>
            </a:graphic>
          </wp:inline>
        </w:drawing>
      </w:r>
    </w:p>
    <w:p w14:paraId="7AF8187D" w14:textId="77777777" w:rsidR="00445875" w:rsidRP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t>Oil Market Recap and 2025 Outlook</w:t>
      </w:r>
    </w:p>
    <w:p w14:paraId="1AD06DEC"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C54370">
        <w:rPr>
          <w:rFonts w:ascii="Segoe UI" w:eastAsia="Times New Roman" w:hAnsi="Segoe UI" w:cs="Segoe UI"/>
          <w:b/>
          <w:bCs/>
          <w:sz w:val="27"/>
          <w:szCs w:val="27"/>
        </w:rPr>
        <w:t>2024 Market Performance</w:t>
      </w:r>
    </w:p>
    <w:p w14:paraId="4915A99C"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USO gained about 4 points over the year. The first half was bullish, driven by tensions between Iran and Israel and Houthi attacks on oil shipping routes. However, the second half saw a decline due to increased production and lower demand from China.</w:t>
      </w:r>
    </w:p>
    <w:p w14:paraId="5F18AC52"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C54370">
        <w:rPr>
          <w:rFonts w:ascii="Segoe UI" w:eastAsia="Times New Roman" w:hAnsi="Segoe UI" w:cs="Segoe UI"/>
          <w:b/>
          <w:bCs/>
          <w:sz w:val="27"/>
          <w:szCs w:val="27"/>
        </w:rPr>
        <w:t>2025 Forecast</w:t>
      </w:r>
    </w:p>
    <w:p w14:paraId="5097C025"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With Donald Trump’s re-election, expect a </w:t>
      </w:r>
      <w:r w:rsidRPr="004272A8">
        <w:rPr>
          <w:rFonts w:ascii="Segoe UI" w:eastAsia="Times New Roman" w:hAnsi="Segoe UI" w:cs="Segoe UI"/>
          <w:bCs/>
          <w:sz w:val="24"/>
          <w:szCs w:val="24"/>
        </w:rPr>
        <w:t>pro-oil stance</w:t>
      </w:r>
      <w:r w:rsidRPr="00445875">
        <w:rPr>
          <w:rFonts w:ascii="Segoe UI" w:eastAsia="Times New Roman" w:hAnsi="Segoe UI" w:cs="Segoe UI"/>
          <w:sz w:val="24"/>
          <w:szCs w:val="24"/>
        </w:rPr>
        <w:t xml:space="preserve"> with policies favoring domestic energy production. The Energy Information Administration (EIA) forecasts Brent crude to average </w:t>
      </w:r>
      <w:r w:rsidRPr="004272A8">
        <w:rPr>
          <w:rFonts w:ascii="Segoe UI" w:eastAsia="Times New Roman" w:hAnsi="Segoe UI" w:cs="Segoe UI"/>
          <w:bCs/>
          <w:sz w:val="24"/>
          <w:szCs w:val="24"/>
        </w:rPr>
        <w:t>$74 per barrel</w:t>
      </w:r>
      <w:r w:rsidRPr="00445875">
        <w:rPr>
          <w:rFonts w:ascii="Segoe UI" w:eastAsia="Times New Roman" w:hAnsi="Segoe UI" w:cs="Segoe UI"/>
          <w:sz w:val="24"/>
          <w:szCs w:val="24"/>
        </w:rPr>
        <w:t xml:space="preserve"> in 2025, down from $81 in 2024. However, geopolitical tensions and supply chain disruptions could push prices higher.</w:t>
      </w:r>
    </w:p>
    <w:p w14:paraId="68B33D08" w14:textId="77777777" w:rsidR="00E9581D" w:rsidRDefault="00445875" w:rsidP="004272A8">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For traders, this means </w:t>
      </w:r>
      <w:r w:rsidRPr="004272A8">
        <w:rPr>
          <w:rFonts w:ascii="Segoe UI" w:eastAsia="Times New Roman" w:hAnsi="Segoe UI" w:cs="Segoe UI"/>
          <w:bCs/>
          <w:sz w:val="24"/>
          <w:szCs w:val="24"/>
        </w:rPr>
        <w:t>volatility</w:t>
      </w:r>
      <w:r w:rsidR="004272A8">
        <w:rPr>
          <w:rFonts w:ascii="Segoe UI" w:eastAsia="Times New Roman" w:hAnsi="Segoe UI" w:cs="Segoe UI"/>
          <w:sz w:val="24"/>
          <w:szCs w:val="24"/>
        </w:rPr>
        <w:t xml:space="preserve"> – </w:t>
      </w:r>
      <w:r w:rsidRPr="00445875">
        <w:rPr>
          <w:rFonts w:ascii="Segoe UI" w:eastAsia="Times New Roman" w:hAnsi="Segoe UI" w:cs="Segoe UI"/>
          <w:sz w:val="24"/>
          <w:szCs w:val="24"/>
        </w:rPr>
        <w:t>a</w:t>
      </w:r>
      <w:r w:rsidR="004272A8">
        <w:rPr>
          <w:rFonts w:ascii="Segoe UI" w:eastAsia="Times New Roman" w:hAnsi="Segoe UI" w:cs="Segoe UI"/>
          <w:sz w:val="24"/>
          <w:szCs w:val="24"/>
        </w:rPr>
        <w:t>nd that could create significant trading opportunities!</w:t>
      </w:r>
      <w:r w:rsidRPr="00445875">
        <w:rPr>
          <w:rFonts w:ascii="Segoe UI" w:eastAsia="Times New Roman" w:hAnsi="Segoe UI" w:cs="Segoe UI"/>
          <w:sz w:val="24"/>
          <w:szCs w:val="24"/>
        </w:rPr>
        <w:t xml:space="preserve"> </w:t>
      </w:r>
    </w:p>
    <w:p w14:paraId="3F3943D5" w14:textId="77777777" w:rsidR="00445875" w:rsidRPr="00445875" w:rsidRDefault="00E9581D" w:rsidP="004272A8">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sz w:val="24"/>
          <w:szCs w:val="24"/>
        </w:rPr>
        <w:t>And this is my secret weapon to do so…</w:t>
      </w:r>
      <w:r w:rsidR="00000000">
        <w:rPr>
          <w:rFonts w:ascii="Segoe UI" w:eastAsia="Times New Roman" w:hAnsi="Segoe UI" w:cs="Segoe UI"/>
          <w:sz w:val="24"/>
          <w:szCs w:val="24"/>
        </w:rPr>
        <w:pict w14:anchorId="5325C5A0">
          <v:rect id="_x0000_i1032" style="width:0;height:1.5pt" o:hralign="center" o:hrstd="t" o:hr="t" fillcolor="#a0a0a0" stroked="f"/>
        </w:pict>
      </w:r>
    </w:p>
    <w:p w14:paraId="12EC19C0" w14:textId="77777777" w:rsidR="00445875" w:rsidRPr="00445875" w:rsidRDefault="00445875" w:rsidP="00445875">
      <w:pPr>
        <w:spacing w:before="100" w:beforeAutospacing="1" w:after="100" w:afterAutospacing="1" w:line="240" w:lineRule="auto"/>
        <w:outlineLvl w:val="1"/>
        <w:rPr>
          <w:rFonts w:ascii="Segoe UI" w:eastAsia="Times New Roman" w:hAnsi="Segoe UI" w:cs="Segoe UI"/>
          <w:b/>
          <w:bCs/>
          <w:sz w:val="36"/>
          <w:szCs w:val="36"/>
        </w:rPr>
      </w:pPr>
      <w:r w:rsidRPr="00445875">
        <w:rPr>
          <w:rFonts w:ascii="Segoe UI" w:eastAsia="Times New Roman" w:hAnsi="Segoe UI" w:cs="Segoe UI"/>
          <w:b/>
          <w:bCs/>
          <w:sz w:val="36"/>
          <w:szCs w:val="36"/>
        </w:rPr>
        <w:lastRenderedPageBreak/>
        <w:t>The Money Calendar: A Powerful Trading Tool</w:t>
      </w:r>
    </w:p>
    <w:p w14:paraId="06A4864A" w14:textId="77777777" w:rsidR="005A5E84" w:rsidRDefault="005A5E84" w:rsidP="000A1F52">
      <w:pPr>
        <w:spacing w:before="100" w:beforeAutospacing="1" w:after="100" w:afterAutospacing="1" w:line="240" w:lineRule="auto"/>
        <w:outlineLvl w:val="2"/>
        <w:rPr>
          <w:rFonts w:ascii="Segoe UI" w:eastAsia="Times New Roman" w:hAnsi="Segoe UI" w:cs="Segoe UI"/>
          <w:b/>
          <w:bCs/>
          <w:sz w:val="27"/>
          <w:szCs w:val="27"/>
        </w:rPr>
      </w:pPr>
      <w:r>
        <w:rPr>
          <w:rFonts w:ascii="Segoe UI" w:eastAsia="Times New Roman" w:hAnsi="Segoe UI" w:cs="Segoe UI"/>
          <w:b/>
          <w:bCs/>
          <w:noProof/>
          <w:sz w:val="27"/>
          <w:szCs w:val="27"/>
        </w:rPr>
        <w:drawing>
          <wp:inline distT="0" distB="0" distL="0" distR="0" wp14:anchorId="6B1B7153" wp14:editId="5F4931F2">
            <wp:extent cx="1665962" cy="6692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c.jpg"/>
                    <pic:cNvPicPr/>
                  </pic:nvPicPr>
                  <pic:blipFill>
                    <a:blip r:embed="rId12" cstate="print">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1695242" cy="680964"/>
                    </a:xfrm>
                    <a:prstGeom prst="rect">
                      <a:avLst/>
                    </a:prstGeom>
                  </pic:spPr>
                </pic:pic>
              </a:graphicData>
            </a:graphic>
          </wp:inline>
        </w:drawing>
      </w:r>
    </w:p>
    <w:p w14:paraId="70C06673" w14:textId="77777777" w:rsidR="00445875" w:rsidRPr="00445875" w:rsidRDefault="00261CAE" w:rsidP="000A1F52">
      <w:pPr>
        <w:spacing w:before="100" w:beforeAutospacing="1" w:after="100" w:afterAutospacing="1" w:line="240" w:lineRule="auto"/>
        <w:outlineLvl w:val="2"/>
        <w:rPr>
          <w:rFonts w:ascii="Segoe UI" w:eastAsia="Times New Roman" w:hAnsi="Segoe UI" w:cs="Segoe UI"/>
          <w:sz w:val="24"/>
          <w:szCs w:val="24"/>
        </w:rPr>
      </w:pPr>
      <w:r>
        <w:rPr>
          <w:rFonts w:ascii="Segoe UI" w:eastAsia="Times New Roman" w:hAnsi="Segoe UI" w:cs="Segoe UI"/>
          <w:b/>
          <w:bCs/>
          <w:sz w:val="27"/>
          <w:szCs w:val="27"/>
        </w:rPr>
        <w:t>What It Is</w:t>
      </w:r>
      <w:r w:rsidR="00445875" w:rsidRPr="00445875">
        <w:rPr>
          <w:rFonts w:ascii="Segoe UI" w:eastAsia="Times New Roman" w:hAnsi="Segoe UI" w:cs="Segoe UI"/>
          <w:sz w:val="24"/>
          <w:szCs w:val="24"/>
        </w:rPr>
        <w:br/>
        <w:t>The Money Calendar is my proprietary tool that scans historical data to find recurring price patterns. It’s designed to help traders pinpoint high-probability setups.</w:t>
      </w:r>
    </w:p>
    <w:p w14:paraId="20273201"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C54370">
        <w:rPr>
          <w:rFonts w:ascii="Segoe UI" w:eastAsia="Times New Roman" w:hAnsi="Segoe UI" w:cs="Segoe UI"/>
          <w:b/>
          <w:bCs/>
          <w:sz w:val="27"/>
          <w:szCs w:val="27"/>
        </w:rPr>
        <w:t>How It Works</w:t>
      </w:r>
    </w:p>
    <w:p w14:paraId="1AB61D51" w14:textId="77777777" w:rsidR="00584414" w:rsidRDefault="00445875" w:rsidP="00261CAE">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 xml:space="preserve">For example, the Money Calendar identified a </w:t>
      </w:r>
      <w:r w:rsidRPr="00C54370">
        <w:rPr>
          <w:rFonts w:ascii="Segoe UI" w:eastAsia="Times New Roman" w:hAnsi="Segoe UI" w:cs="Segoe UI"/>
          <w:b/>
          <w:bCs/>
          <w:sz w:val="24"/>
          <w:szCs w:val="24"/>
        </w:rPr>
        <w:t>28-day pattern starting March 11</w:t>
      </w:r>
      <w:r w:rsidRPr="00445875">
        <w:rPr>
          <w:rFonts w:ascii="Segoe UI" w:eastAsia="Times New Roman" w:hAnsi="Segoe UI" w:cs="Segoe UI"/>
          <w:sz w:val="24"/>
          <w:szCs w:val="24"/>
        </w:rPr>
        <w:t xml:space="preserve">, showing an average gain of </w:t>
      </w:r>
      <w:r w:rsidRPr="00C54370">
        <w:rPr>
          <w:rFonts w:ascii="Segoe UI" w:eastAsia="Times New Roman" w:hAnsi="Segoe UI" w:cs="Segoe UI"/>
          <w:b/>
          <w:bCs/>
          <w:sz w:val="24"/>
          <w:szCs w:val="24"/>
        </w:rPr>
        <w:t>2.15% ($3.52 per share)</w:t>
      </w:r>
      <w:r w:rsidRPr="00445875">
        <w:rPr>
          <w:rFonts w:ascii="Segoe UI" w:eastAsia="Times New Roman" w:hAnsi="Segoe UI" w:cs="Segoe UI"/>
          <w:sz w:val="24"/>
          <w:szCs w:val="24"/>
        </w:rPr>
        <w:t xml:space="preserve"> for USO. But based on recent trends, the longer </w:t>
      </w:r>
      <w:r w:rsidRPr="00C54370">
        <w:rPr>
          <w:rFonts w:ascii="Segoe UI" w:eastAsia="Times New Roman" w:hAnsi="Segoe UI" w:cs="Segoe UI"/>
          <w:b/>
          <w:bCs/>
          <w:sz w:val="24"/>
          <w:szCs w:val="24"/>
        </w:rPr>
        <w:t>5-month pattern from mid-February to mid-July</w:t>
      </w:r>
      <w:r w:rsidRPr="00445875">
        <w:rPr>
          <w:rFonts w:ascii="Segoe UI" w:eastAsia="Times New Roman" w:hAnsi="Segoe UI" w:cs="Segoe UI"/>
          <w:sz w:val="24"/>
          <w:szCs w:val="24"/>
        </w:rPr>
        <w:t xml:space="preserve"> has shown stronger results.</w:t>
      </w:r>
    </w:p>
    <w:p w14:paraId="578F74CE" w14:textId="77777777" w:rsidR="00261CAE" w:rsidRDefault="00584414" w:rsidP="00261CAE">
      <w:pPr>
        <w:spacing w:before="100" w:beforeAutospacing="1" w:after="100" w:afterAutospacing="1" w:line="240" w:lineRule="auto"/>
        <w:rPr>
          <w:rFonts w:ascii="Segoe UI" w:eastAsia="Times New Roman" w:hAnsi="Segoe UI" w:cs="Segoe UI"/>
          <w:sz w:val="24"/>
          <w:szCs w:val="24"/>
        </w:rPr>
      </w:pPr>
      <w:r w:rsidRPr="008B78F8">
        <w:rPr>
          <w:noProof/>
        </w:rPr>
        <w:drawing>
          <wp:inline distT="0" distB="0" distL="0" distR="0" wp14:anchorId="628C6DD7" wp14:editId="405EBDC0">
            <wp:extent cx="5943600" cy="3807460"/>
            <wp:effectExtent l="0" t="0" r="0" b="2540"/>
            <wp:docPr id="30211522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15227" name="Picture 1" descr="A screenshot of a graph&#10;&#10;Description automatically generated"/>
                    <pic:cNvPicPr/>
                  </pic:nvPicPr>
                  <pic:blipFill>
                    <a:blip r:embed="rId14"/>
                    <a:stretch>
                      <a:fillRect/>
                    </a:stretch>
                  </pic:blipFill>
                  <pic:spPr>
                    <a:xfrm>
                      <a:off x="0" y="0"/>
                      <a:ext cx="5943600" cy="3807460"/>
                    </a:xfrm>
                    <a:prstGeom prst="rect">
                      <a:avLst/>
                    </a:prstGeom>
                  </pic:spPr>
                </pic:pic>
              </a:graphicData>
            </a:graphic>
          </wp:inline>
        </w:drawing>
      </w:r>
      <w:r w:rsidR="00000000">
        <w:rPr>
          <w:rFonts w:ascii="Segoe UI" w:eastAsia="Times New Roman" w:hAnsi="Segoe UI" w:cs="Segoe UI"/>
          <w:sz w:val="24"/>
          <w:szCs w:val="24"/>
        </w:rPr>
        <w:pict w14:anchorId="0DA25721">
          <v:rect id="_x0000_i1033" style="width:0;height:1.5pt" o:hralign="center" o:hrstd="t" o:hr="t" fillcolor="#a0a0a0" stroked="f"/>
        </w:pict>
      </w:r>
    </w:p>
    <w:p w14:paraId="3580EE82" w14:textId="77777777" w:rsidR="00445875" w:rsidRDefault="00445875" w:rsidP="00261CAE">
      <w:pPr>
        <w:spacing w:before="100" w:beforeAutospacing="1" w:after="100" w:afterAutospacing="1" w:line="240" w:lineRule="auto"/>
        <w:rPr>
          <w:rFonts w:ascii="Segoe UI" w:eastAsia="Times New Roman" w:hAnsi="Segoe UI" w:cs="Segoe UI"/>
          <w:b/>
          <w:bCs/>
          <w:sz w:val="36"/>
          <w:szCs w:val="36"/>
        </w:rPr>
      </w:pPr>
      <w:r w:rsidRPr="00445875">
        <w:rPr>
          <w:rFonts w:ascii="Segoe UI" w:eastAsia="Times New Roman" w:hAnsi="Segoe UI" w:cs="Segoe UI"/>
          <w:b/>
          <w:bCs/>
          <w:sz w:val="36"/>
          <w:szCs w:val="36"/>
        </w:rPr>
        <w:t>Two Profitable Options Strategies for This Trade</w:t>
      </w:r>
    </w:p>
    <w:p w14:paraId="2E4ACBBE" w14:textId="77777777" w:rsidR="00C42ACE" w:rsidRDefault="00C42ACE" w:rsidP="00C42ACE">
      <w:pPr>
        <w:spacing w:before="100" w:beforeAutospacing="1" w:after="100" w:afterAutospacing="1" w:line="240" w:lineRule="auto"/>
        <w:rPr>
          <w:rFonts w:ascii="Segoe UI" w:eastAsia="Times New Roman" w:hAnsi="Segoe UI" w:cs="Segoe UI"/>
          <w:sz w:val="24"/>
          <w:szCs w:val="24"/>
        </w:rPr>
      </w:pPr>
      <w:r w:rsidRPr="00C42ACE">
        <w:rPr>
          <w:rFonts w:ascii="Segoe UI" w:eastAsia="Times New Roman" w:hAnsi="Segoe UI" w:cs="Segoe UI"/>
          <w:sz w:val="24"/>
          <w:szCs w:val="24"/>
        </w:rPr>
        <w:lastRenderedPageBreak/>
        <w:t>I leverage the power of options for their leverage. Options can provide a higher ROI compared to direct investment in securities, though they come with the risk of expiring worthless if not managed properly.</w:t>
      </w:r>
      <w:r>
        <w:rPr>
          <w:rFonts w:ascii="Segoe UI" w:eastAsia="Times New Roman" w:hAnsi="Segoe UI" w:cs="Segoe UI"/>
          <w:sz w:val="24"/>
          <w:szCs w:val="24"/>
        </w:rPr>
        <w:t xml:space="preserve"> That’s why I stick to my three-step trading approach – no matter what the markets are doing. </w:t>
      </w:r>
    </w:p>
    <w:p w14:paraId="0676FBB0" w14:textId="77777777" w:rsidR="00C42ACE" w:rsidRPr="00C42ACE" w:rsidRDefault="00C42ACE" w:rsidP="00C42ACE">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sz w:val="24"/>
          <w:szCs w:val="24"/>
        </w:rPr>
        <w:t>And when it comes to this oil and energy pattern, these are my two favorite option strategies to use:</w:t>
      </w:r>
    </w:p>
    <w:p w14:paraId="1DA2433D"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C54370">
        <w:rPr>
          <w:rFonts w:ascii="Segoe UI" w:eastAsia="Times New Roman" w:hAnsi="Segoe UI" w:cs="Segoe UI"/>
          <w:b/>
          <w:bCs/>
          <w:sz w:val="27"/>
          <w:szCs w:val="27"/>
        </w:rPr>
        <w:t>1. Long Call</w:t>
      </w:r>
    </w:p>
    <w:p w14:paraId="74FA4CC1" w14:textId="77777777" w:rsidR="00445875" w:rsidRP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Buying a call option gives you the right to buy a security at a fixed price before expiration. If USO’s price goes up, you can profit significantly.</w:t>
      </w:r>
    </w:p>
    <w:p w14:paraId="415F80E6" w14:textId="77777777" w:rsidR="00445875" w:rsidRPr="00445875" w:rsidRDefault="00445875" w:rsidP="00445875">
      <w:pPr>
        <w:spacing w:before="100" w:beforeAutospacing="1" w:after="100" w:afterAutospacing="1" w:line="240" w:lineRule="auto"/>
        <w:outlineLvl w:val="2"/>
        <w:rPr>
          <w:rFonts w:ascii="Segoe UI" w:eastAsia="Times New Roman" w:hAnsi="Segoe UI" w:cs="Segoe UI"/>
          <w:b/>
          <w:bCs/>
          <w:sz w:val="27"/>
          <w:szCs w:val="27"/>
        </w:rPr>
      </w:pPr>
      <w:r w:rsidRPr="00C54370">
        <w:rPr>
          <w:rFonts w:ascii="Segoe UI" w:eastAsia="Times New Roman" w:hAnsi="Segoe UI" w:cs="Segoe UI"/>
          <w:b/>
          <w:bCs/>
          <w:sz w:val="27"/>
          <w:szCs w:val="27"/>
        </w:rPr>
        <w:t>2. Call Debit Spread</w:t>
      </w:r>
    </w:p>
    <w:p w14:paraId="07E0C9E8" w14:textId="77777777" w:rsidR="00445875" w:rsidRDefault="00445875" w:rsidP="00445875">
      <w:pPr>
        <w:spacing w:before="100" w:beforeAutospacing="1" w:after="100" w:afterAutospacing="1" w:line="240" w:lineRule="auto"/>
        <w:rPr>
          <w:rFonts w:ascii="Segoe UI" w:eastAsia="Times New Roman" w:hAnsi="Segoe UI" w:cs="Segoe UI"/>
          <w:sz w:val="24"/>
          <w:szCs w:val="24"/>
        </w:rPr>
      </w:pPr>
      <w:r w:rsidRPr="00445875">
        <w:rPr>
          <w:rFonts w:ascii="Segoe UI" w:eastAsia="Times New Roman" w:hAnsi="Segoe UI" w:cs="Segoe UI"/>
          <w:sz w:val="24"/>
          <w:szCs w:val="24"/>
        </w:rPr>
        <w:t>This strategy involves buying a call at a lower strike price and selling one at a higher strike price. It limits risk while still allowing for solid returns.</w:t>
      </w:r>
    </w:p>
    <w:p w14:paraId="55AE6E4B" w14:textId="77777777" w:rsidR="00445875" w:rsidRPr="00445875" w:rsidRDefault="00C42ACE" w:rsidP="00C42ACE">
      <w:pPr>
        <w:spacing w:before="100" w:beforeAutospacing="1" w:after="100" w:afterAutospacing="1" w:line="240" w:lineRule="auto"/>
        <w:rPr>
          <w:rFonts w:ascii="Segoe UI" w:eastAsia="Times New Roman" w:hAnsi="Segoe UI" w:cs="Segoe UI"/>
          <w:sz w:val="24"/>
          <w:szCs w:val="24"/>
        </w:rPr>
      </w:pPr>
      <w:r>
        <w:rPr>
          <w:rFonts w:ascii="Segoe UI" w:eastAsia="Times New Roman" w:hAnsi="Segoe UI" w:cs="Segoe UI"/>
          <w:sz w:val="24"/>
          <w:szCs w:val="24"/>
        </w:rPr>
        <w:t xml:space="preserve">Remember… the setups above are for educational purposes only and are NOT official recommendations. You should consult your broker or financial advisor before placing any trade. </w:t>
      </w:r>
      <w:r w:rsidR="00000000">
        <w:rPr>
          <w:rFonts w:ascii="Segoe UI" w:eastAsia="Times New Roman" w:hAnsi="Segoe UI" w:cs="Segoe UI"/>
          <w:sz w:val="24"/>
          <w:szCs w:val="24"/>
        </w:rPr>
        <w:pict w14:anchorId="27F54171">
          <v:rect id="_x0000_i1034" style="width:0;height:1.5pt" o:hralign="center" o:hrstd="t" o:hr="t" fillcolor="#a0a0a0" stroked="f"/>
        </w:pict>
      </w:r>
      <w:r w:rsidR="00622C18">
        <w:rPr>
          <w:rFonts w:ascii="Segoe UI" w:eastAsia="Times New Roman" w:hAnsi="Segoe UI" w:cs="Segoe UI"/>
          <w:b/>
          <w:bCs/>
          <w:sz w:val="36"/>
          <w:szCs w:val="36"/>
        </w:rPr>
        <w:t>Summary</w:t>
      </w:r>
    </w:p>
    <w:p w14:paraId="1FCA291C" w14:textId="77777777" w:rsidR="00622C18" w:rsidRPr="00622C18" w:rsidRDefault="00622C18" w:rsidP="00622C18">
      <w:pPr>
        <w:spacing w:before="100" w:beforeAutospacing="1" w:after="100" w:afterAutospacing="1" w:line="240" w:lineRule="auto"/>
        <w:rPr>
          <w:rFonts w:ascii="Segoe UI" w:eastAsia="Times New Roman" w:hAnsi="Segoe UI" w:cs="Segoe UI"/>
          <w:bCs/>
          <w:sz w:val="24"/>
        </w:rPr>
      </w:pPr>
      <w:r w:rsidRPr="00622C18">
        <w:rPr>
          <w:rFonts w:ascii="Segoe UI" w:eastAsia="Times New Roman" w:hAnsi="Segoe UI" w:cs="Segoe UI"/>
          <w:bCs/>
          <w:sz w:val="24"/>
        </w:rPr>
        <w:t>This report highlights a seasonal bullish trend in oil from mid-February to mid-July…</w:t>
      </w:r>
    </w:p>
    <w:p w14:paraId="2997E64C" w14:textId="77777777" w:rsidR="00622C18" w:rsidRPr="00622C18" w:rsidRDefault="00622C18" w:rsidP="00622C18">
      <w:pPr>
        <w:spacing w:before="100" w:beforeAutospacing="1" w:after="100" w:afterAutospacing="1" w:line="240" w:lineRule="auto"/>
        <w:rPr>
          <w:rFonts w:ascii="Segoe UI" w:eastAsia="Times New Roman" w:hAnsi="Segoe UI" w:cs="Segoe UI"/>
          <w:bCs/>
          <w:sz w:val="24"/>
        </w:rPr>
      </w:pPr>
      <w:r w:rsidRPr="00622C18">
        <w:rPr>
          <w:rFonts w:ascii="Segoe UI" w:eastAsia="Times New Roman" w:hAnsi="Segoe UI" w:cs="Segoe UI"/>
          <w:bCs/>
          <w:sz w:val="24"/>
        </w:rPr>
        <w:t>But it’s just one of MANY powerful strategies you can use to capitalize on repeatable patterns identified by the Money Calendar every single day.</w:t>
      </w:r>
    </w:p>
    <w:p w14:paraId="436AC441" w14:textId="77777777" w:rsidR="00622C18" w:rsidRPr="00622C18" w:rsidRDefault="00622C18" w:rsidP="00622C18">
      <w:pPr>
        <w:spacing w:before="100" w:beforeAutospacing="1" w:after="100" w:afterAutospacing="1" w:line="240" w:lineRule="auto"/>
        <w:rPr>
          <w:rFonts w:ascii="Segoe UI" w:eastAsia="Times New Roman" w:hAnsi="Segoe UI" w:cs="Segoe UI"/>
          <w:bCs/>
          <w:sz w:val="24"/>
        </w:rPr>
      </w:pPr>
      <w:r>
        <w:rPr>
          <w:rFonts w:ascii="Segoe UI" w:eastAsia="Times New Roman" w:hAnsi="Segoe UI" w:cs="Segoe UI"/>
          <w:bCs/>
          <w:sz w:val="24"/>
        </w:rPr>
        <w:t xml:space="preserve">Visit </w:t>
      </w:r>
      <w:hyperlink r:id="rId15" w:history="1">
        <w:r w:rsidRPr="00C65957">
          <w:rPr>
            <w:rStyle w:val="Hyperlink"/>
            <w:rFonts w:ascii="Segoe UI" w:eastAsia="Times New Roman" w:hAnsi="Segoe UI" w:cs="Segoe UI"/>
            <w:b/>
            <w:bCs/>
            <w:sz w:val="24"/>
          </w:rPr>
          <w:t>www</w:t>
        </w:r>
        <w:r w:rsidRPr="00622C18">
          <w:rPr>
            <w:rStyle w:val="Hyperlink"/>
            <w:rFonts w:ascii="Segoe UI" w:eastAsia="Times New Roman" w:hAnsi="Segoe UI" w:cs="Segoe UI"/>
            <w:b/>
            <w:bCs/>
            <w:sz w:val="24"/>
          </w:rPr>
          <w:t>.gulfportanalytics.com/products/timed-trader-pro</w:t>
        </w:r>
      </w:hyperlink>
      <w:r>
        <w:rPr>
          <w:rFonts w:ascii="Segoe UI" w:eastAsia="Times New Roman" w:hAnsi="Segoe UI" w:cs="Segoe UI"/>
          <w:bCs/>
          <w:sz w:val="24"/>
        </w:rPr>
        <w:t xml:space="preserve"> learn</w:t>
      </w:r>
      <w:r w:rsidRPr="00622C18">
        <w:rPr>
          <w:rFonts w:ascii="Segoe UI" w:eastAsia="Times New Roman" w:hAnsi="Segoe UI" w:cs="Segoe UI"/>
          <w:bCs/>
          <w:sz w:val="24"/>
        </w:rPr>
        <w:t xml:space="preserve"> how the Money Calendar can help you capitalize on high-probability trades and aim for </w:t>
      </w:r>
      <w:r w:rsidRPr="00622C18">
        <w:rPr>
          <w:rFonts w:ascii="Segoe UI" w:eastAsia="Times New Roman" w:hAnsi="Segoe UI" w:cs="Segoe UI"/>
          <w:b/>
          <w:bCs/>
          <w:sz w:val="24"/>
        </w:rPr>
        <w:t>100% gains in 30 days or less</w:t>
      </w:r>
      <w:r w:rsidRPr="00622C18">
        <w:rPr>
          <w:rFonts w:ascii="Segoe UI" w:eastAsia="Times New Roman" w:hAnsi="Segoe UI" w:cs="Segoe UI"/>
          <w:bCs/>
          <w:sz w:val="24"/>
        </w:rPr>
        <w:t>.</w:t>
      </w:r>
    </w:p>
    <w:p w14:paraId="71F7D8DD" w14:textId="77777777" w:rsidR="00622C18" w:rsidRDefault="00622C18" w:rsidP="00622C18">
      <w:pPr>
        <w:spacing w:before="100" w:beforeAutospacing="1" w:after="100" w:afterAutospacing="1" w:line="240" w:lineRule="auto"/>
        <w:rPr>
          <w:rFonts w:ascii="Segoe UI" w:eastAsia="Times New Roman" w:hAnsi="Segoe UI" w:cs="Segoe UI"/>
          <w:bCs/>
          <w:sz w:val="24"/>
        </w:rPr>
      </w:pPr>
      <w:r w:rsidRPr="00622C18">
        <w:rPr>
          <w:rFonts w:ascii="Segoe UI" w:eastAsia="Times New Roman" w:hAnsi="Segoe UI" w:cs="Segoe UI"/>
          <w:bCs/>
          <w:sz w:val="24"/>
        </w:rPr>
        <w:t>Happy trading!</w:t>
      </w:r>
    </w:p>
    <w:p w14:paraId="4C477BAA" w14:textId="77777777" w:rsidR="00622C18" w:rsidRDefault="00622C18" w:rsidP="00622C18">
      <w:pPr>
        <w:spacing w:before="100" w:beforeAutospacing="1" w:after="100" w:afterAutospacing="1" w:line="240" w:lineRule="auto"/>
        <w:rPr>
          <w:rFonts w:ascii="Segoe UI" w:eastAsia="Times New Roman" w:hAnsi="Segoe UI" w:cs="Segoe UI"/>
          <w:bCs/>
          <w:sz w:val="24"/>
        </w:rPr>
      </w:pPr>
      <w:r>
        <w:rPr>
          <w:rFonts w:ascii="Segoe UI" w:eastAsia="Times New Roman" w:hAnsi="Segoe UI" w:cs="Segoe UI"/>
          <w:bCs/>
          <w:sz w:val="24"/>
        </w:rPr>
        <w:t>Tom Gentile</w:t>
      </w:r>
    </w:p>
    <w:p w14:paraId="6D5FF974" w14:textId="77777777" w:rsidR="00622C18" w:rsidRPr="00622C18" w:rsidRDefault="00622C18" w:rsidP="00622C18">
      <w:pPr>
        <w:spacing w:before="100" w:beforeAutospacing="1" w:after="100" w:afterAutospacing="1" w:line="240" w:lineRule="auto"/>
        <w:rPr>
          <w:rFonts w:ascii="Segoe UI" w:eastAsia="Times New Roman" w:hAnsi="Segoe UI" w:cs="Segoe UI"/>
          <w:bCs/>
          <w:sz w:val="24"/>
        </w:rPr>
      </w:pPr>
      <w:r>
        <w:rPr>
          <w:rFonts w:ascii="Segoe UI" w:eastAsia="Times New Roman" w:hAnsi="Segoe UI" w:cs="Segoe UI"/>
          <w:bCs/>
          <w:sz w:val="24"/>
        </w:rPr>
        <w:t>America’s Pattern Trader</w:t>
      </w:r>
    </w:p>
    <w:p w14:paraId="77BA1557" w14:textId="7D23BE51" w:rsidR="00157C77" w:rsidRPr="004504F0" w:rsidRDefault="00445875" w:rsidP="004504F0">
      <w:pPr>
        <w:spacing w:before="100" w:beforeAutospacing="1" w:after="100" w:afterAutospacing="1" w:line="240" w:lineRule="auto"/>
        <w:rPr>
          <w:rFonts w:ascii="Segoe UI" w:eastAsia="Times New Roman" w:hAnsi="Segoe UI" w:cs="Segoe UI"/>
          <w:sz w:val="24"/>
          <w:szCs w:val="24"/>
        </w:rPr>
      </w:pPr>
      <w:r w:rsidRPr="00C54370">
        <w:rPr>
          <w:rFonts w:ascii="Segoe UI" w:eastAsia="Times New Roman" w:hAnsi="Segoe UI" w:cs="Segoe UI"/>
          <w:noProof/>
          <w:sz w:val="24"/>
          <w:szCs w:val="24"/>
        </w:rPr>
        <mc:AlternateContent>
          <mc:Choice Requires="wps">
            <w:drawing>
              <wp:inline distT="0" distB="0" distL="0" distR="0" wp14:anchorId="06DC453A" wp14:editId="4B5865E3">
                <wp:extent cx="304800" cy="304800"/>
                <wp:effectExtent l="0" t="0" r="0" b="0"/>
                <wp:docPr id="1" name="Rectangle 1" descr="Closing 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FD82C9" id="Rectangle 1" o:spid="_x0000_s1026" alt="Closing 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5i8Tk78C&#10;AADPBQAADgAAAAAAAAAAAAAAAAAuAgAAZHJzL2Uyb0RvYy54bWxQSwECLQAUAAYACAAAACEATKDp&#10;LNgAAAADAQAADwAAAAAAAAAAAAAAAAAZBQAAZHJzL2Rvd25yZXYueG1sUEsFBgAAAAAEAAQA8wAA&#10;AB4GAAAAAA==&#10;" filled="f" stroked="f">
                <o:lock v:ext="edit" aspectratio="t"/>
                <w10:anchorlock/>
              </v:rect>
            </w:pict>
          </mc:Fallback>
        </mc:AlternateContent>
      </w:r>
    </w:p>
    <w:sectPr w:rsidR="00157C77" w:rsidRPr="004504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61BC8"/>
    <w:multiLevelType w:val="multilevel"/>
    <w:tmpl w:val="00C8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D312E"/>
    <w:multiLevelType w:val="multilevel"/>
    <w:tmpl w:val="CD06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03ABE"/>
    <w:multiLevelType w:val="multilevel"/>
    <w:tmpl w:val="953A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8E7D83"/>
    <w:multiLevelType w:val="multilevel"/>
    <w:tmpl w:val="985A3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DE4A16"/>
    <w:multiLevelType w:val="multilevel"/>
    <w:tmpl w:val="E1E2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0716794">
    <w:abstractNumId w:val="4"/>
  </w:num>
  <w:num w:numId="2" w16cid:durableId="1833642193">
    <w:abstractNumId w:val="1"/>
  </w:num>
  <w:num w:numId="3" w16cid:durableId="282807340">
    <w:abstractNumId w:val="0"/>
  </w:num>
  <w:num w:numId="4" w16cid:durableId="1951474246">
    <w:abstractNumId w:val="2"/>
  </w:num>
  <w:num w:numId="5" w16cid:durableId="1294100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875"/>
    <w:rsid w:val="00080F27"/>
    <w:rsid w:val="000A1F52"/>
    <w:rsid w:val="000D3D1F"/>
    <w:rsid w:val="000F4351"/>
    <w:rsid w:val="00157C77"/>
    <w:rsid w:val="001D1A82"/>
    <w:rsid w:val="0020299A"/>
    <w:rsid w:val="00261CAE"/>
    <w:rsid w:val="00345F2A"/>
    <w:rsid w:val="003856F9"/>
    <w:rsid w:val="004272A8"/>
    <w:rsid w:val="00437E8A"/>
    <w:rsid w:val="00445875"/>
    <w:rsid w:val="004504F0"/>
    <w:rsid w:val="004839EC"/>
    <w:rsid w:val="00564004"/>
    <w:rsid w:val="00584414"/>
    <w:rsid w:val="005A5E84"/>
    <w:rsid w:val="005D7770"/>
    <w:rsid w:val="00622C18"/>
    <w:rsid w:val="006C5F2E"/>
    <w:rsid w:val="006E09E9"/>
    <w:rsid w:val="0088520A"/>
    <w:rsid w:val="008E057A"/>
    <w:rsid w:val="009B5DDD"/>
    <w:rsid w:val="009C60A0"/>
    <w:rsid w:val="00A10D9E"/>
    <w:rsid w:val="00B90FC4"/>
    <w:rsid w:val="00C42ACE"/>
    <w:rsid w:val="00C54370"/>
    <w:rsid w:val="00C66739"/>
    <w:rsid w:val="00C84BC3"/>
    <w:rsid w:val="00CB5BF7"/>
    <w:rsid w:val="00E9581D"/>
    <w:rsid w:val="00F91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36CF5"/>
  <w15:chartTrackingRefBased/>
  <w15:docId w15:val="{15099A8C-8090-41C9-92EB-AECDA404A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4587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458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587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4587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458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5875"/>
    <w:rPr>
      <w:b/>
      <w:bCs/>
    </w:rPr>
  </w:style>
  <w:style w:type="character" w:styleId="Hyperlink">
    <w:name w:val="Hyperlink"/>
    <w:basedOn w:val="DefaultParagraphFont"/>
    <w:uiPriority w:val="99"/>
    <w:unhideWhenUsed/>
    <w:rsid w:val="00445875"/>
    <w:rPr>
      <w:color w:val="0000FF"/>
      <w:u w:val="single"/>
    </w:rPr>
  </w:style>
  <w:style w:type="paragraph" w:styleId="ListParagraph">
    <w:name w:val="List Paragraph"/>
    <w:basedOn w:val="Normal"/>
    <w:uiPriority w:val="34"/>
    <w:qFormat/>
    <w:rsid w:val="00080F27"/>
    <w:pPr>
      <w:ind w:left="720"/>
      <w:contextualSpacing/>
    </w:pPr>
  </w:style>
  <w:style w:type="character" w:styleId="UnresolvedMention">
    <w:name w:val="Unresolved Mention"/>
    <w:basedOn w:val="DefaultParagraphFont"/>
    <w:uiPriority w:val="99"/>
    <w:semiHidden/>
    <w:unhideWhenUsed/>
    <w:rsid w:val="000D3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65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emf"/><Relationship Id="rId5" Type="http://schemas.openxmlformats.org/officeDocument/2006/relationships/image" Target="media/image1.jpeg"/><Relationship Id="rId15" Type="http://schemas.openxmlformats.org/officeDocument/2006/relationships/hyperlink" Target="http://www.gulfportanalytics.com/products/timed-trader-pro" TargetMode="External"/><Relationship Id="rId10" Type="http://schemas.openxmlformats.org/officeDocument/2006/relationships/hyperlink" Target="http://www.tomsoptiontools.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14 West Global Technologies</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RCove</dc:creator>
  <cp:keywords/>
  <dc:description/>
  <cp:lastModifiedBy>Brian Wenhold</cp:lastModifiedBy>
  <cp:revision>2</cp:revision>
  <dcterms:created xsi:type="dcterms:W3CDTF">2025-02-10T13:53:00Z</dcterms:created>
  <dcterms:modified xsi:type="dcterms:W3CDTF">2025-02-10T13:53:00Z</dcterms:modified>
</cp:coreProperties>
</file>